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1.xml" ContentType="application/vnd.openxmlformats-officedocument.themeOverride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9083" w14:textId="441461D6" w:rsidR="00AD5423" w:rsidRPr="00B270C3" w:rsidRDefault="00F77099" w:rsidP="003F43E6">
      <w:pPr>
        <w:tabs>
          <w:tab w:val="left" w:pos="345"/>
          <w:tab w:val="left" w:pos="1245"/>
          <w:tab w:val="center" w:pos="5225"/>
        </w:tabs>
        <w:spacing w:after="120"/>
        <w:ind w:right="17"/>
        <w:rPr>
          <w:b/>
          <w:color w:val="FF0066"/>
          <w:sz w:val="40"/>
          <w:szCs w:val="40"/>
        </w:rPr>
      </w:pPr>
      <w:r>
        <w:rPr>
          <w:b/>
          <w:color w:val="FF0066"/>
          <w:sz w:val="40"/>
          <w:szCs w:val="40"/>
        </w:rPr>
        <w:tab/>
      </w:r>
      <w:r w:rsidR="003F43E6">
        <w:rPr>
          <w:b/>
          <w:color w:val="FF0066"/>
          <w:sz w:val="40"/>
          <w:szCs w:val="40"/>
        </w:rPr>
        <w:tab/>
      </w:r>
      <w:r>
        <w:rPr>
          <w:b/>
          <w:color w:val="FF0066"/>
          <w:sz w:val="40"/>
          <w:szCs w:val="40"/>
        </w:rPr>
        <w:tab/>
      </w:r>
      <w:r w:rsidR="00AD5423" w:rsidRPr="00B270C3">
        <w:rPr>
          <w:b/>
          <w:color w:val="FF0066"/>
          <w:sz w:val="40"/>
          <w:szCs w:val="40"/>
        </w:rPr>
        <w:t xml:space="preserve">RESULTATS BAROMETRE </w:t>
      </w:r>
      <w:r w:rsidR="00932E70">
        <w:rPr>
          <w:b/>
          <w:color w:val="FF0066"/>
          <w:sz w:val="40"/>
          <w:szCs w:val="40"/>
        </w:rPr>
        <w:t>3</w:t>
      </w:r>
      <w:r w:rsidR="00932E70" w:rsidRPr="00932E70">
        <w:rPr>
          <w:b/>
          <w:color w:val="FF0066"/>
          <w:sz w:val="40"/>
          <w:szCs w:val="40"/>
          <w:vertAlign w:val="superscript"/>
        </w:rPr>
        <w:t>ème</w:t>
      </w:r>
      <w:r w:rsidR="00EE0863">
        <w:rPr>
          <w:b/>
          <w:color w:val="FF0066"/>
          <w:sz w:val="40"/>
          <w:szCs w:val="40"/>
          <w:vertAlign w:val="superscript"/>
        </w:rPr>
        <w:t xml:space="preserve"> </w:t>
      </w:r>
      <w:r w:rsidR="00AD5423" w:rsidRPr="00B270C3">
        <w:rPr>
          <w:b/>
          <w:color w:val="FF0066"/>
          <w:sz w:val="40"/>
          <w:szCs w:val="40"/>
        </w:rPr>
        <w:t>TRIMESTRE 20</w:t>
      </w:r>
      <w:r w:rsidR="00975A24">
        <w:rPr>
          <w:b/>
          <w:color w:val="FF0066"/>
          <w:sz w:val="40"/>
          <w:szCs w:val="40"/>
        </w:rPr>
        <w:t>2</w:t>
      </w:r>
      <w:r w:rsidR="001F39F2">
        <w:rPr>
          <w:b/>
          <w:color w:val="FF0066"/>
          <w:sz w:val="40"/>
          <w:szCs w:val="40"/>
        </w:rPr>
        <w:t>2</w:t>
      </w:r>
    </w:p>
    <w:p w14:paraId="31C8D6D2" w14:textId="77777777" w:rsidR="00D44430" w:rsidRDefault="00D44430" w:rsidP="00477327">
      <w:pPr>
        <w:spacing w:after="120"/>
        <w:ind w:right="17"/>
        <w:jc w:val="center"/>
        <w:rPr>
          <w:b/>
          <w:color w:val="FF0066"/>
          <w:sz w:val="40"/>
          <w:szCs w:val="40"/>
        </w:rPr>
      </w:pPr>
      <w:r w:rsidRPr="00B270C3">
        <w:rPr>
          <w:b/>
          <w:color w:val="FF0066"/>
          <w:sz w:val="40"/>
          <w:szCs w:val="40"/>
        </w:rPr>
        <w:t xml:space="preserve">Partie récurrente </w:t>
      </w:r>
    </w:p>
    <w:p w14:paraId="00E5F8FB" w14:textId="77777777" w:rsidR="00477327" w:rsidRPr="00D903CD" w:rsidRDefault="00477327" w:rsidP="00BE31F3">
      <w:pPr>
        <w:spacing w:after="0" w:line="240" w:lineRule="auto"/>
        <w:ind w:right="17"/>
        <w:rPr>
          <w:color w:val="000000" w:themeColor="text1"/>
        </w:rPr>
      </w:pPr>
    </w:p>
    <w:p w14:paraId="118D5BA0" w14:textId="77777777" w:rsidR="00AD5423" w:rsidRDefault="00F13685" w:rsidP="00EA01B5">
      <w:pPr>
        <w:spacing w:after="0" w:line="240" w:lineRule="auto"/>
        <w:ind w:right="17"/>
        <w:jc w:val="center"/>
        <w:rPr>
          <w:i/>
        </w:rPr>
      </w:pPr>
      <w:r w:rsidRPr="00D903CD">
        <w:rPr>
          <w:i/>
        </w:rPr>
        <w:t xml:space="preserve">1 - </w:t>
      </w:r>
      <w:r w:rsidR="00AD5423" w:rsidRPr="00D903CD">
        <w:rPr>
          <w:i/>
        </w:rPr>
        <w:t>Tendance sur l'activité de l'entreprise</w:t>
      </w:r>
    </w:p>
    <w:p w14:paraId="7700C391" w14:textId="77777777" w:rsidR="00C646FD" w:rsidRDefault="00C646FD" w:rsidP="00EA01B5">
      <w:pPr>
        <w:spacing w:after="0" w:line="240" w:lineRule="auto"/>
        <w:ind w:right="17"/>
        <w:jc w:val="center"/>
        <w:rPr>
          <w:i/>
        </w:rPr>
      </w:pPr>
    </w:p>
    <w:p w14:paraId="735B9117" w14:textId="196844C1" w:rsidR="00C646FD" w:rsidRDefault="00932E70" w:rsidP="00746B27">
      <w:pPr>
        <w:ind w:right="16"/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0225BC1" wp14:editId="3A3F4C0C">
            <wp:extent cx="6192000" cy="3048000"/>
            <wp:effectExtent l="0" t="0" r="18415" b="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DA07E2" w14:textId="24F3E609" w:rsidR="00654671" w:rsidRPr="00D903CD" w:rsidRDefault="00F94C26" w:rsidP="00BD78DB">
      <w:pPr>
        <w:ind w:right="16"/>
        <w:jc w:val="both"/>
        <w:rPr>
          <w:noProof/>
          <w:lang w:eastAsia="fr-FR"/>
        </w:rPr>
      </w:pPr>
      <w:r>
        <w:rPr>
          <w:noProof/>
          <w:lang w:eastAsia="fr-FR"/>
        </w:rPr>
        <w:t>Pour ce</w:t>
      </w:r>
      <w:r w:rsidR="001546DD" w:rsidRPr="00D903CD">
        <w:rPr>
          <w:noProof/>
          <w:lang w:eastAsia="fr-FR"/>
        </w:rPr>
        <w:t xml:space="preserve"> </w:t>
      </w:r>
      <w:r w:rsidR="002B529B">
        <w:rPr>
          <w:noProof/>
          <w:lang w:eastAsia="fr-FR"/>
        </w:rPr>
        <w:t>troisième t</w:t>
      </w:r>
      <w:r w:rsidR="003560C1" w:rsidRPr="00D903CD">
        <w:rPr>
          <w:noProof/>
          <w:lang w:eastAsia="fr-FR"/>
        </w:rPr>
        <w:t>rimestre 20</w:t>
      </w:r>
      <w:r w:rsidR="00487BB4" w:rsidRPr="00D903CD">
        <w:rPr>
          <w:noProof/>
          <w:lang w:eastAsia="fr-FR"/>
        </w:rPr>
        <w:t>2</w:t>
      </w:r>
      <w:r w:rsidR="001F39F2">
        <w:rPr>
          <w:noProof/>
          <w:lang w:eastAsia="fr-FR"/>
        </w:rPr>
        <w:t>2</w:t>
      </w:r>
      <w:r w:rsidR="003560C1" w:rsidRPr="00D903CD">
        <w:rPr>
          <w:noProof/>
          <w:lang w:eastAsia="fr-FR"/>
        </w:rPr>
        <w:t>,</w:t>
      </w:r>
      <w:r w:rsidR="00C7021B" w:rsidRPr="00C7021B">
        <w:rPr>
          <w:noProof/>
          <w:lang w:eastAsia="fr-FR"/>
        </w:rPr>
        <w:t xml:space="preserve"> </w:t>
      </w:r>
      <w:r w:rsidR="00175BED">
        <w:rPr>
          <w:noProof/>
          <w:lang w:eastAsia="fr-FR"/>
        </w:rPr>
        <w:t>l</w:t>
      </w:r>
      <w:r w:rsidR="00175BED" w:rsidRPr="00D903CD">
        <w:rPr>
          <w:noProof/>
          <w:lang w:eastAsia="fr-FR"/>
        </w:rPr>
        <w:t xml:space="preserve">e taux </w:t>
      </w:r>
      <w:r w:rsidR="00175BED">
        <w:rPr>
          <w:noProof/>
          <w:lang w:eastAsia="fr-FR"/>
        </w:rPr>
        <w:t>d’optimi</w:t>
      </w:r>
      <w:r w:rsidR="00032367">
        <w:rPr>
          <w:noProof/>
          <w:lang w:eastAsia="fr-FR"/>
        </w:rPr>
        <w:t>s</w:t>
      </w:r>
      <w:r w:rsidR="00175BED">
        <w:rPr>
          <w:noProof/>
          <w:lang w:eastAsia="fr-FR"/>
        </w:rPr>
        <w:t xml:space="preserve">tes </w:t>
      </w:r>
      <w:r w:rsidR="002B529B">
        <w:rPr>
          <w:noProof/>
          <w:lang w:eastAsia="fr-FR"/>
        </w:rPr>
        <w:t xml:space="preserve">baisse légérement </w:t>
      </w:r>
      <w:r w:rsidR="00175BED" w:rsidRPr="00D903CD">
        <w:rPr>
          <w:noProof/>
          <w:lang w:eastAsia="fr-FR"/>
        </w:rPr>
        <w:t>(</w:t>
      </w:r>
      <w:r w:rsidR="002B529B">
        <w:rPr>
          <w:noProof/>
          <w:lang w:eastAsia="fr-FR"/>
        </w:rPr>
        <w:t>7,7% vs 10,9</w:t>
      </w:r>
      <w:r w:rsidR="00175BED">
        <w:rPr>
          <w:noProof/>
          <w:lang w:eastAsia="fr-FR"/>
        </w:rPr>
        <w:t>%</w:t>
      </w:r>
      <w:r w:rsidR="008A005A">
        <w:rPr>
          <w:noProof/>
          <w:lang w:eastAsia="fr-FR"/>
        </w:rPr>
        <w:t>)</w:t>
      </w:r>
      <w:r w:rsidR="00E1316E">
        <w:rPr>
          <w:noProof/>
          <w:lang w:eastAsia="fr-FR"/>
        </w:rPr>
        <w:t xml:space="preserve"> ainsi que </w:t>
      </w:r>
      <w:r w:rsidR="00C7021B" w:rsidRPr="00D903CD">
        <w:rPr>
          <w:noProof/>
          <w:lang w:eastAsia="fr-FR"/>
        </w:rPr>
        <w:t>le taux d</w:t>
      </w:r>
      <w:r w:rsidR="00175BED">
        <w:rPr>
          <w:noProof/>
          <w:lang w:eastAsia="fr-FR"/>
        </w:rPr>
        <w:t>’indécis</w:t>
      </w:r>
      <w:r w:rsidR="00E1316E">
        <w:rPr>
          <w:noProof/>
          <w:lang w:eastAsia="fr-FR"/>
        </w:rPr>
        <w:t xml:space="preserve"> (54,3</w:t>
      </w:r>
      <w:r w:rsidR="00175BED">
        <w:rPr>
          <w:noProof/>
          <w:lang w:eastAsia="fr-FR"/>
        </w:rPr>
        <w:t>%</w:t>
      </w:r>
      <w:r w:rsidR="00C7021B" w:rsidRPr="00D903CD">
        <w:rPr>
          <w:noProof/>
          <w:lang w:eastAsia="fr-FR"/>
        </w:rPr>
        <w:t xml:space="preserve"> vs </w:t>
      </w:r>
      <w:r w:rsidR="001F39F2">
        <w:rPr>
          <w:noProof/>
          <w:lang w:eastAsia="fr-FR"/>
        </w:rPr>
        <w:t>5</w:t>
      </w:r>
      <w:r w:rsidR="00E1316E">
        <w:rPr>
          <w:noProof/>
          <w:lang w:eastAsia="fr-FR"/>
        </w:rPr>
        <w:t>7</w:t>
      </w:r>
      <w:r w:rsidR="001F39F2">
        <w:rPr>
          <w:noProof/>
          <w:lang w:eastAsia="fr-FR"/>
        </w:rPr>
        <w:t>,</w:t>
      </w:r>
      <w:r w:rsidR="00E1316E">
        <w:rPr>
          <w:noProof/>
          <w:lang w:eastAsia="fr-FR"/>
        </w:rPr>
        <w:t>1</w:t>
      </w:r>
      <w:r w:rsidR="00C7021B" w:rsidRPr="00D903CD">
        <w:rPr>
          <w:noProof/>
          <w:lang w:eastAsia="fr-FR"/>
        </w:rPr>
        <w:t>%)</w:t>
      </w:r>
      <w:r w:rsidR="00C7021B">
        <w:rPr>
          <w:noProof/>
          <w:lang w:eastAsia="fr-FR"/>
        </w:rPr>
        <w:t xml:space="preserve"> </w:t>
      </w:r>
      <w:r w:rsidR="000E1BD0">
        <w:rPr>
          <w:noProof/>
          <w:lang w:eastAsia="fr-FR"/>
        </w:rPr>
        <w:t xml:space="preserve">alors </w:t>
      </w:r>
      <w:r w:rsidR="001F39F2">
        <w:rPr>
          <w:noProof/>
          <w:lang w:eastAsia="fr-FR"/>
        </w:rPr>
        <w:t xml:space="preserve">que le taux </w:t>
      </w:r>
      <w:r w:rsidR="00175BED">
        <w:rPr>
          <w:noProof/>
          <w:lang w:eastAsia="fr-FR"/>
        </w:rPr>
        <w:t>de pessimistes</w:t>
      </w:r>
      <w:r w:rsidR="000E1BD0">
        <w:rPr>
          <w:noProof/>
          <w:lang w:eastAsia="fr-FR"/>
        </w:rPr>
        <w:t xml:space="preserve"> </w:t>
      </w:r>
      <w:r w:rsidR="00E1316E">
        <w:rPr>
          <w:noProof/>
          <w:lang w:eastAsia="fr-FR"/>
        </w:rPr>
        <w:t xml:space="preserve">augmente </w:t>
      </w:r>
      <w:r w:rsidR="00175BED">
        <w:rPr>
          <w:noProof/>
          <w:lang w:eastAsia="fr-FR"/>
        </w:rPr>
        <w:t>(</w:t>
      </w:r>
      <w:r w:rsidR="00E1316E">
        <w:rPr>
          <w:noProof/>
          <w:lang w:eastAsia="fr-FR"/>
        </w:rPr>
        <w:t>32,9</w:t>
      </w:r>
      <w:r w:rsidR="00A364F7" w:rsidRPr="00D903CD">
        <w:rPr>
          <w:noProof/>
          <w:lang w:eastAsia="fr-FR"/>
        </w:rPr>
        <w:t xml:space="preserve">% vs </w:t>
      </w:r>
      <w:r w:rsidR="000E1BD0">
        <w:rPr>
          <w:noProof/>
          <w:lang w:eastAsia="fr-FR"/>
        </w:rPr>
        <w:t>2</w:t>
      </w:r>
      <w:r w:rsidR="00E1316E">
        <w:rPr>
          <w:noProof/>
          <w:lang w:eastAsia="fr-FR"/>
        </w:rPr>
        <w:t>6,7%</w:t>
      </w:r>
      <w:r w:rsidR="00A364F7" w:rsidRPr="00D903CD">
        <w:rPr>
          <w:noProof/>
          <w:lang w:eastAsia="fr-FR"/>
        </w:rPr>
        <w:t>)</w:t>
      </w:r>
      <w:r w:rsidR="00175BED">
        <w:rPr>
          <w:noProof/>
          <w:lang w:eastAsia="fr-FR"/>
        </w:rPr>
        <w:t>.</w:t>
      </w:r>
      <w:r w:rsidR="00C7021B">
        <w:rPr>
          <w:noProof/>
          <w:lang w:eastAsia="fr-FR"/>
        </w:rPr>
        <w:t xml:space="preserve"> </w:t>
      </w:r>
    </w:p>
    <w:p w14:paraId="396D2B90" w14:textId="77777777" w:rsidR="004E2900" w:rsidRDefault="004E2900" w:rsidP="00477327">
      <w:pPr>
        <w:ind w:right="16"/>
        <w:jc w:val="center"/>
        <w:rPr>
          <w:i/>
        </w:rPr>
      </w:pPr>
    </w:p>
    <w:p w14:paraId="2C2D1193" w14:textId="77777777" w:rsidR="00AD5423" w:rsidRPr="00EE0863" w:rsidRDefault="00AD5423" w:rsidP="00477327">
      <w:pPr>
        <w:ind w:right="16"/>
        <w:jc w:val="center"/>
        <w:rPr>
          <w:i/>
          <w:color w:val="FF0000"/>
        </w:rPr>
      </w:pPr>
      <w:r w:rsidRPr="00EE0863">
        <w:rPr>
          <w:i/>
          <w:color w:val="FF0000"/>
        </w:rPr>
        <w:t>Répartition par tranche d'âge de cette tendance</w:t>
      </w:r>
    </w:p>
    <w:p w14:paraId="5807FB35" w14:textId="4EC0A3C2" w:rsidR="00AD5423" w:rsidRPr="00D903CD" w:rsidRDefault="00932E70" w:rsidP="00AD542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4F573A18" wp14:editId="6308278E">
            <wp:extent cx="6192000" cy="2867025"/>
            <wp:effectExtent l="0" t="0" r="18415" b="9525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3D130B" w14:textId="69BA5B75" w:rsidR="00AF375F" w:rsidRDefault="00C646FD" w:rsidP="00BD78DB">
      <w:pPr>
        <w:ind w:right="16"/>
        <w:jc w:val="both"/>
      </w:pPr>
      <w:r>
        <w:t>Ce trimestre</w:t>
      </w:r>
      <w:r w:rsidR="00175BED">
        <w:t>,</w:t>
      </w:r>
      <w:r>
        <w:t xml:space="preserve"> l</w:t>
      </w:r>
      <w:r w:rsidR="00F94C26">
        <w:t xml:space="preserve">’ensemble </w:t>
      </w:r>
      <w:r w:rsidR="00372CC3" w:rsidRPr="00D903CD">
        <w:t xml:space="preserve">des dirigeants de TPE </w:t>
      </w:r>
      <w:r>
        <w:t>ayant moi</w:t>
      </w:r>
      <w:r w:rsidR="00175BED">
        <w:t>n</w:t>
      </w:r>
      <w:r>
        <w:t xml:space="preserve">s de </w:t>
      </w:r>
      <w:r w:rsidR="00175BED">
        <w:t>5</w:t>
      </w:r>
      <w:r>
        <w:t>0 ans pr</w:t>
      </w:r>
      <w:r w:rsidR="00487BB4" w:rsidRPr="00D903CD">
        <w:t>évoi</w:t>
      </w:r>
      <w:r w:rsidR="002567AA" w:rsidRPr="00D903CD">
        <w:t>ent</w:t>
      </w:r>
      <w:r w:rsidR="00487BB4" w:rsidRPr="00D903CD">
        <w:t xml:space="preserve"> </w:t>
      </w:r>
      <w:r w:rsidR="009A37B5">
        <w:t>une hausse de leur</w:t>
      </w:r>
      <w:r w:rsidR="00487BB4" w:rsidRPr="00D903CD">
        <w:t xml:space="preserve"> CA </w:t>
      </w:r>
      <w:r w:rsidR="00922F17" w:rsidRPr="00D903CD">
        <w:t>(</w:t>
      </w:r>
      <w:r w:rsidR="003B17D5">
        <w:t xml:space="preserve">de </w:t>
      </w:r>
      <w:r w:rsidR="00FB7D85">
        <w:t>9,5</w:t>
      </w:r>
      <w:r w:rsidR="000D5020">
        <w:t>%</w:t>
      </w:r>
      <w:r w:rsidR="003B17D5">
        <w:t xml:space="preserve"> </w:t>
      </w:r>
      <w:r w:rsidR="000D5020">
        <w:t xml:space="preserve">et </w:t>
      </w:r>
      <w:r w:rsidR="00FB7D85">
        <w:t>10,2</w:t>
      </w:r>
      <w:r w:rsidR="009A37B5">
        <w:t xml:space="preserve">%) tandis que les plus de 50 ans sont plus pessimistes et prévoient une </w:t>
      </w:r>
      <w:r w:rsidR="00561E06">
        <w:t xml:space="preserve">baisse </w:t>
      </w:r>
      <w:r w:rsidR="00AF375F" w:rsidRPr="00D903CD">
        <w:t>de leur activité</w:t>
      </w:r>
      <w:r w:rsidR="009A37B5">
        <w:t xml:space="preserve"> (</w:t>
      </w:r>
      <w:r w:rsidR="00FB7D85">
        <w:t>32,6% et 32,7</w:t>
      </w:r>
      <w:r w:rsidR="009A37B5">
        <w:t>%)</w:t>
      </w:r>
      <w:r w:rsidR="002567AA" w:rsidRPr="00D903CD">
        <w:t>.</w:t>
      </w:r>
      <w:r w:rsidR="00FB7D85">
        <w:t xml:space="preserve"> </w:t>
      </w:r>
    </w:p>
    <w:p w14:paraId="53107153" w14:textId="77777777" w:rsidR="00AD5423" w:rsidRDefault="002567AA" w:rsidP="00BD78DB">
      <w:pPr>
        <w:ind w:right="16"/>
        <w:jc w:val="both"/>
      </w:pPr>
      <w:r w:rsidRPr="00D903CD">
        <w:t xml:space="preserve">  </w:t>
      </w:r>
      <w:r w:rsidR="00A37C28" w:rsidRPr="00D903CD">
        <w:t xml:space="preserve"> </w:t>
      </w:r>
    </w:p>
    <w:p w14:paraId="38D85F4F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lastRenderedPageBreak/>
        <w:t>Répartition par secteur de cette tendance</w:t>
      </w:r>
    </w:p>
    <w:p w14:paraId="5FCD3197" w14:textId="3E9AC441" w:rsidR="003B17D5" w:rsidRPr="003B17D5" w:rsidRDefault="00932E70" w:rsidP="003B17D5">
      <w:pPr>
        <w:tabs>
          <w:tab w:val="left" w:pos="2001"/>
        </w:tabs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5267B918" wp14:editId="13870FC0">
            <wp:extent cx="6192000" cy="3491865"/>
            <wp:effectExtent l="0" t="0" r="18415" b="13335"/>
            <wp:docPr id="9" name="Graphique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F44A2A" w14:textId="271C6B95" w:rsidR="003B17D5" w:rsidRDefault="00331240" w:rsidP="00F22259">
      <w:pPr>
        <w:ind w:right="16"/>
      </w:pPr>
      <w:r>
        <w:t>L</w:t>
      </w:r>
      <w:r w:rsidR="003B17D5">
        <w:t>e</w:t>
      </w:r>
      <w:r w:rsidR="00F5421B">
        <w:t>s</w:t>
      </w:r>
      <w:r w:rsidR="00C646FD">
        <w:t xml:space="preserve"> secteur</w:t>
      </w:r>
      <w:r w:rsidR="00FB7D85">
        <w:t>s</w:t>
      </w:r>
      <w:r w:rsidR="00C646FD">
        <w:t xml:space="preserve"> «</w:t>
      </w:r>
      <w:r w:rsidR="00C87FE2">
        <w:t xml:space="preserve"> </w:t>
      </w:r>
      <w:r w:rsidR="00FB7D85">
        <w:t>Equipement de la maison » (28,8%), « Services » (17,1%)</w:t>
      </w:r>
      <w:r w:rsidR="00C87FE2">
        <w:t xml:space="preserve">, </w:t>
      </w:r>
      <w:r w:rsidR="00FB7D85">
        <w:t>« Santé</w:t>
      </w:r>
      <w:r w:rsidR="00C646FD">
        <w:t> »</w:t>
      </w:r>
      <w:r w:rsidR="003B17D5">
        <w:t xml:space="preserve"> </w:t>
      </w:r>
      <w:r w:rsidR="00C646FD">
        <w:t>(</w:t>
      </w:r>
      <w:r w:rsidR="00FB7D85">
        <w:t>1</w:t>
      </w:r>
      <w:r w:rsidR="005F251B">
        <w:t>2,</w:t>
      </w:r>
      <w:r w:rsidR="00876C98">
        <w:t>8</w:t>
      </w:r>
      <w:r w:rsidR="00C646FD">
        <w:t>%)</w:t>
      </w:r>
      <w:r w:rsidR="00F5421B">
        <w:t>,</w:t>
      </w:r>
      <w:r w:rsidR="00876C98">
        <w:t xml:space="preserve"> « Automobile » (10,7%)</w:t>
      </w:r>
      <w:r w:rsidR="00C87FE2">
        <w:t xml:space="preserve">, </w:t>
      </w:r>
      <w:r w:rsidR="00876C98">
        <w:t xml:space="preserve">« Bâtiment » (8,2%) , « Culture et Loisirs » </w:t>
      </w:r>
      <w:r w:rsidR="009A37B5">
        <w:t>(</w:t>
      </w:r>
      <w:r w:rsidR="00876C98">
        <w:t>7</w:t>
      </w:r>
      <w:r w:rsidR="000D5020">
        <w:t>,</w:t>
      </w:r>
      <w:r w:rsidR="005F251B">
        <w:t>7</w:t>
      </w:r>
      <w:r w:rsidR="000902FF">
        <w:t>%)</w:t>
      </w:r>
      <w:r w:rsidR="001209A6">
        <w:t>,</w:t>
      </w:r>
      <w:r w:rsidR="008631E0">
        <w:t xml:space="preserve"> </w:t>
      </w:r>
      <w:r w:rsidR="000B198C">
        <w:t xml:space="preserve">sont les seuls à prévoir une hausse d’activité </w:t>
      </w:r>
      <w:r w:rsidR="00190631">
        <w:t xml:space="preserve">pour ce </w:t>
      </w:r>
      <w:r w:rsidR="00876C98">
        <w:t xml:space="preserve">troisième </w:t>
      </w:r>
      <w:r w:rsidR="005F251B">
        <w:t xml:space="preserve"> </w:t>
      </w:r>
      <w:r w:rsidR="00190631">
        <w:t>trimestre</w:t>
      </w:r>
      <w:r w:rsidR="009A37B5">
        <w:t xml:space="preserve"> 202</w:t>
      </w:r>
      <w:r w:rsidR="000902FF">
        <w:t>2</w:t>
      </w:r>
      <w:r w:rsidR="00190631">
        <w:t>.</w:t>
      </w:r>
      <w:r w:rsidR="005775CC">
        <w:t xml:space="preserve"> </w:t>
      </w:r>
      <w:r w:rsidR="00B60D00">
        <w:t>Les</w:t>
      </w:r>
      <w:r w:rsidR="005775CC">
        <w:t xml:space="preserve"> autres secteurs</w:t>
      </w:r>
      <w:r w:rsidR="000B198C">
        <w:t xml:space="preserve"> </w:t>
      </w:r>
      <w:r w:rsidR="005775CC">
        <w:t>prévoient une baisse d’activité</w:t>
      </w:r>
      <w:r w:rsidR="009F7637">
        <w:t>,</w:t>
      </w:r>
      <w:r w:rsidR="005775CC">
        <w:t xml:space="preserve"> le</w:t>
      </w:r>
      <w:r w:rsidR="00876C98">
        <w:t>s</w:t>
      </w:r>
      <w:r w:rsidR="005775CC">
        <w:t xml:space="preserve"> </w:t>
      </w:r>
      <w:r w:rsidR="00876C98">
        <w:t xml:space="preserve">secteurs « Equipement de la maison » (57,1%), </w:t>
      </w:r>
      <w:r w:rsidR="005775CC">
        <w:t>secteur</w:t>
      </w:r>
      <w:r w:rsidR="00876C98">
        <w:t>s</w:t>
      </w:r>
      <w:r w:rsidR="005775CC">
        <w:t xml:space="preserve"> </w:t>
      </w:r>
      <w:r w:rsidR="000902FF">
        <w:t>« </w:t>
      </w:r>
      <w:r w:rsidR="00876C98">
        <w:t xml:space="preserve">Equipement de la personne </w:t>
      </w:r>
      <w:r w:rsidR="000902FF">
        <w:t>» (5</w:t>
      </w:r>
      <w:r w:rsidR="00876C98">
        <w:t>4</w:t>
      </w:r>
      <w:r w:rsidR="000902FF">
        <w:t>,</w:t>
      </w:r>
      <w:r w:rsidR="00876C98">
        <w:t>5</w:t>
      </w:r>
      <w:r w:rsidR="000902FF">
        <w:t>%), « Commerce de détail alimentaire » (</w:t>
      </w:r>
      <w:r w:rsidR="005F251B">
        <w:t>4</w:t>
      </w:r>
      <w:r w:rsidR="00876C98">
        <w:t>4</w:t>
      </w:r>
      <w:r w:rsidR="005F251B">
        <w:t>,</w:t>
      </w:r>
      <w:r w:rsidR="00876C98">
        <w:t>4</w:t>
      </w:r>
      <w:r w:rsidR="000902FF">
        <w:t>%), « </w:t>
      </w:r>
      <w:r w:rsidR="00876C98">
        <w:t>Café, Hôtellerie, Restauration</w:t>
      </w:r>
      <w:r w:rsidR="000902FF">
        <w:t xml:space="preserve"> » </w:t>
      </w:r>
      <w:r w:rsidR="009F7637">
        <w:t>(</w:t>
      </w:r>
      <w:r w:rsidR="00876C98">
        <w:t>41,9</w:t>
      </w:r>
      <w:r w:rsidR="009F7637">
        <w:t>%),</w:t>
      </w:r>
      <w:r w:rsidR="008631E0">
        <w:t xml:space="preserve"> </w:t>
      </w:r>
      <w:r w:rsidR="000902FF">
        <w:t>« </w:t>
      </w:r>
      <w:r w:rsidR="009A37B5">
        <w:t>Beauté Esthétique »</w:t>
      </w:r>
      <w:r w:rsidR="00876C98">
        <w:t xml:space="preserve"> (40,2%)</w:t>
      </w:r>
      <w:r w:rsidR="005F251B">
        <w:t>,</w:t>
      </w:r>
      <w:r w:rsidR="00876C98">
        <w:t xml:space="preserve"> </w:t>
      </w:r>
      <w:r w:rsidR="005F251B">
        <w:t xml:space="preserve"> « Santé » et « </w:t>
      </w:r>
      <w:r w:rsidR="00876C98">
        <w:t>Services</w:t>
      </w:r>
      <w:r w:rsidR="005F251B">
        <w:t xml:space="preserve"> » </w:t>
      </w:r>
      <w:r w:rsidR="008631E0">
        <w:t xml:space="preserve"> (</w:t>
      </w:r>
      <w:r w:rsidR="00876C98">
        <w:t>34,3</w:t>
      </w:r>
      <w:r w:rsidR="008631E0">
        <w:t>%</w:t>
      </w:r>
      <w:r w:rsidR="005F251B">
        <w:t xml:space="preserve"> et </w:t>
      </w:r>
      <w:r w:rsidR="00876C98">
        <w:t>34,0</w:t>
      </w:r>
      <w:r w:rsidR="005F251B">
        <w:t>%</w:t>
      </w:r>
      <w:r w:rsidR="008631E0">
        <w:t>) suivis des  secteurs</w:t>
      </w:r>
      <w:r w:rsidR="000902FF">
        <w:t xml:space="preserve"> « Automobile</w:t>
      </w:r>
      <w:r w:rsidR="009A37B5">
        <w:t> »</w:t>
      </w:r>
      <w:r w:rsidR="00876C98">
        <w:t xml:space="preserve"> (32,1%)</w:t>
      </w:r>
      <w:r w:rsidR="00C87FE2">
        <w:t>,</w:t>
      </w:r>
      <w:r w:rsidR="000902FF">
        <w:t xml:space="preserve"> « </w:t>
      </w:r>
      <w:r w:rsidR="00C87FE2">
        <w:t>Bâtiment</w:t>
      </w:r>
      <w:r w:rsidR="000902FF">
        <w:t xml:space="preserve"> » </w:t>
      </w:r>
      <w:r w:rsidR="006A5190">
        <w:t>(</w:t>
      </w:r>
      <w:r w:rsidR="005F251B">
        <w:t>2</w:t>
      </w:r>
      <w:r w:rsidR="00C87FE2">
        <w:t>4</w:t>
      </w:r>
      <w:r w:rsidR="005F251B">
        <w:t>,</w:t>
      </w:r>
      <w:r w:rsidR="00C87FE2">
        <w:t>1</w:t>
      </w:r>
      <w:r w:rsidR="00190631">
        <w:t>%</w:t>
      </w:r>
      <w:r w:rsidR="006A5190">
        <w:t>)</w:t>
      </w:r>
      <w:r w:rsidR="00E37F63">
        <w:t xml:space="preserve"> </w:t>
      </w:r>
      <w:r w:rsidR="008631E0">
        <w:t xml:space="preserve">et </w:t>
      </w:r>
      <w:r w:rsidR="00C87FE2">
        <w:t xml:space="preserve"> « Transports » </w:t>
      </w:r>
      <w:r w:rsidR="00190631">
        <w:t>(</w:t>
      </w:r>
      <w:r w:rsidR="00400F2C">
        <w:t>2</w:t>
      </w:r>
      <w:r w:rsidR="00C87FE2">
        <w:t>1</w:t>
      </w:r>
      <w:r w:rsidR="00400F2C">
        <w:t>,</w:t>
      </w:r>
      <w:r w:rsidR="00C87FE2">
        <w:t>4</w:t>
      </w:r>
      <w:r w:rsidR="00E37F63">
        <w:t xml:space="preserve">%). </w:t>
      </w:r>
      <w:r w:rsidR="00400F2C">
        <w:t xml:space="preserve"> </w:t>
      </w:r>
    </w:p>
    <w:p w14:paraId="7FCE2511" w14:textId="77777777" w:rsidR="009F7637" w:rsidRDefault="00AD5423" w:rsidP="00AD5423">
      <w:pPr>
        <w:tabs>
          <w:tab w:val="left" w:pos="2907"/>
          <w:tab w:val="center" w:pos="5225"/>
        </w:tabs>
        <w:ind w:right="16"/>
        <w:rPr>
          <w:i/>
        </w:rPr>
      </w:pPr>
      <w:r w:rsidRPr="00D903CD">
        <w:rPr>
          <w:i/>
        </w:rPr>
        <w:tab/>
      </w:r>
      <w:r w:rsidRPr="00D903CD">
        <w:rPr>
          <w:i/>
        </w:rPr>
        <w:tab/>
      </w:r>
    </w:p>
    <w:p w14:paraId="2270E807" w14:textId="77777777" w:rsidR="00AD5423" w:rsidRPr="00D903CD" w:rsidRDefault="00F13685" w:rsidP="009F7637">
      <w:pPr>
        <w:tabs>
          <w:tab w:val="left" w:pos="2907"/>
          <w:tab w:val="center" w:pos="5225"/>
        </w:tabs>
        <w:ind w:right="16"/>
        <w:jc w:val="center"/>
        <w:rPr>
          <w:i/>
        </w:rPr>
      </w:pPr>
      <w:r w:rsidRPr="00D903CD">
        <w:rPr>
          <w:i/>
        </w:rPr>
        <w:t xml:space="preserve">2 - </w:t>
      </w:r>
      <w:r w:rsidR="00AD5423" w:rsidRPr="00D903CD">
        <w:rPr>
          <w:i/>
        </w:rPr>
        <w:t>Investis</w:t>
      </w:r>
      <w:r w:rsidR="00833005" w:rsidRPr="00D903CD">
        <w:rPr>
          <w:i/>
        </w:rPr>
        <w:t>s</w:t>
      </w:r>
      <w:r w:rsidR="00AD5423" w:rsidRPr="00D903CD">
        <w:rPr>
          <w:i/>
        </w:rPr>
        <w:t>ements</w:t>
      </w:r>
    </w:p>
    <w:p w14:paraId="608208EB" w14:textId="30806160" w:rsidR="00AD5423" w:rsidRPr="00D903CD" w:rsidRDefault="00932E70" w:rsidP="00AD542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48247CF0" wp14:editId="061D2624">
            <wp:extent cx="6191250" cy="3124200"/>
            <wp:effectExtent l="0" t="0" r="0" b="0"/>
            <wp:docPr id="10" name="Graphique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9CF7EF" w14:textId="71D7D96C" w:rsidR="00F13685" w:rsidRPr="00D903CD" w:rsidRDefault="006054BC" w:rsidP="00AD5423">
      <w:pPr>
        <w:ind w:right="16"/>
      </w:pPr>
      <w:r w:rsidRPr="00D903CD">
        <w:t>L</w:t>
      </w:r>
      <w:r w:rsidR="006B1ABB" w:rsidRPr="00D903CD">
        <w:t>es</w:t>
      </w:r>
      <w:r w:rsidR="00AD5423" w:rsidRPr="00D903CD">
        <w:t xml:space="preserve"> projets d'investissement</w:t>
      </w:r>
      <w:r w:rsidR="002567AA" w:rsidRPr="00D903CD">
        <w:t>s</w:t>
      </w:r>
      <w:r w:rsidR="00AD5423" w:rsidRPr="00D903CD">
        <w:t xml:space="preserve"> </w:t>
      </w:r>
      <w:r w:rsidR="00E37F63">
        <w:t xml:space="preserve">sont </w:t>
      </w:r>
      <w:r w:rsidR="005E0180">
        <w:t xml:space="preserve">quasiment stables </w:t>
      </w:r>
      <w:r w:rsidR="00174CDE" w:rsidRPr="00D903CD">
        <w:t xml:space="preserve">et </w:t>
      </w:r>
      <w:r w:rsidR="00454672">
        <w:t xml:space="preserve">ne </w:t>
      </w:r>
      <w:r w:rsidR="00174CDE" w:rsidRPr="00D903CD">
        <w:t>concernent que 1</w:t>
      </w:r>
      <w:r w:rsidR="00E37F63">
        <w:t>4,</w:t>
      </w:r>
      <w:r w:rsidR="00C87FE2">
        <w:t>1</w:t>
      </w:r>
      <w:r w:rsidR="00174CDE" w:rsidRPr="00D903CD">
        <w:t>% des entreprises in</w:t>
      </w:r>
      <w:r w:rsidR="00802D2B">
        <w:t>terrogées, contre 1</w:t>
      </w:r>
      <w:r w:rsidR="005E0180">
        <w:t>4</w:t>
      </w:r>
      <w:r w:rsidR="00802D2B">
        <w:t>,</w:t>
      </w:r>
      <w:r w:rsidR="00C87FE2">
        <w:t>9</w:t>
      </w:r>
      <w:r w:rsidR="00AD5423" w:rsidRPr="00D903CD">
        <w:t>% au trimestre précédent.</w:t>
      </w:r>
    </w:p>
    <w:p w14:paraId="5BE0807C" w14:textId="238BAD0A" w:rsidR="00AD5423" w:rsidRDefault="00932E70" w:rsidP="00AD5423">
      <w:pPr>
        <w:ind w:right="16"/>
        <w:jc w:val="center"/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 wp14:anchorId="407A1C5E" wp14:editId="42D5FCBA">
            <wp:extent cx="6192000" cy="3086100"/>
            <wp:effectExtent l="0" t="0" r="18415" b="0"/>
            <wp:docPr id="12" name="Graphique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AE0E35" w14:textId="68EE94F5" w:rsidR="003D3BB2" w:rsidRPr="00D903CD" w:rsidRDefault="00FA011F" w:rsidP="003D3BB2">
      <w:pPr>
        <w:ind w:right="16"/>
        <w:jc w:val="both"/>
      </w:pPr>
      <w:r>
        <w:t>Ce trimestre, les projets d’investissements</w:t>
      </w:r>
      <w:r w:rsidR="0071009F">
        <w:t xml:space="preserve"> </w:t>
      </w:r>
      <w:r>
        <w:t xml:space="preserve">les plus concernés </w:t>
      </w:r>
      <w:r w:rsidR="0071009F">
        <w:t>s</w:t>
      </w:r>
      <w:r>
        <w:t>ont les projets d’« A</w:t>
      </w:r>
      <w:r w:rsidRPr="00D903CD">
        <w:t>ménagements-Rénovation » (</w:t>
      </w:r>
      <w:r>
        <w:t>4</w:t>
      </w:r>
      <w:r w:rsidR="000900E7">
        <w:t>3</w:t>
      </w:r>
      <w:r>
        <w:t>,</w:t>
      </w:r>
      <w:r w:rsidR="000900E7">
        <w:t>7</w:t>
      </w:r>
      <w:r>
        <w:t>%</w:t>
      </w:r>
      <w:r w:rsidRPr="00D903CD">
        <w:t xml:space="preserve">%) </w:t>
      </w:r>
      <w:r>
        <w:t>suivis par le poste « </w:t>
      </w:r>
      <w:r w:rsidR="003D3BB2" w:rsidRPr="00D903CD">
        <w:t>Matériel, mobilier, informatique » (</w:t>
      </w:r>
      <w:r w:rsidR="004B63B3">
        <w:t>4</w:t>
      </w:r>
      <w:r w:rsidR="000900E7">
        <w:t>2,4</w:t>
      </w:r>
      <w:r w:rsidR="003D3BB2" w:rsidRPr="00D903CD">
        <w:t xml:space="preserve">%) et </w:t>
      </w:r>
      <w:r w:rsidR="00B42C06">
        <w:t xml:space="preserve">par le </w:t>
      </w:r>
      <w:r w:rsidR="003D3BB2" w:rsidRPr="00D903CD">
        <w:t>poste « Autres investissements » (</w:t>
      </w:r>
      <w:r w:rsidR="000900E7">
        <w:t>24,7</w:t>
      </w:r>
      <w:r w:rsidR="003D3BB2" w:rsidRPr="00D903CD">
        <w:t xml:space="preserve">%). </w:t>
      </w:r>
    </w:p>
    <w:p w14:paraId="0663D615" w14:textId="77777777" w:rsidR="00E328DC" w:rsidRPr="00D903CD" w:rsidRDefault="00E328DC" w:rsidP="00AD5423">
      <w:pPr>
        <w:ind w:right="16"/>
        <w:jc w:val="center"/>
        <w:rPr>
          <w:i/>
        </w:rPr>
      </w:pPr>
    </w:p>
    <w:p w14:paraId="3F189A67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t>Profil des investisseurs</w:t>
      </w:r>
    </w:p>
    <w:p w14:paraId="2DE832CB" w14:textId="0A8B1540" w:rsidR="00E328DC" w:rsidRPr="00D903CD" w:rsidRDefault="00932E70" w:rsidP="00AD542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14BADEEA" wp14:editId="6006865B">
            <wp:extent cx="5829300" cy="2733675"/>
            <wp:effectExtent l="0" t="0" r="0" b="9525"/>
            <wp:docPr id="13" name="Graphique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F15343" w14:textId="3C2ADF03" w:rsidR="00AD5423" w:rsidRPr="00D903CD" w:rsidRDefault="00F955CE" w:rsidP="00BD78DB">
      <w:pPr>
        <w:ind w:right="16"/>
        <w:jc w:val="both"/>
      </w:pPr>
      <w:r w:rsidRPr="00D903CD">
        <w:t xml:space="preserve">Les </w:t>
      </w:r>
      <w:r w:rsidR="00AD5423" w:rsidRPr="00D903CD">
        <w:t xml:space="preserve">chefs d'entreprises qui investissent le plus ont </w:t>
      </w:r>
      <w:r w:rsidR="008D0AB4" w:rsidRPr="00D903CD">
        <w:t xml:space="preserve">moins de </w:t>
      </w:r>
      <w:r w:rsidR="006A5190">
        <w:t>5</w:t>
      </w:r>
      <w:r w:rsidR="0058651A" w:rsidRPr="00D903CD">
        <w:t>0 ans</w:t>
      </w:r>
      <w:r w:rsidR="00BD78DB" w:rsidRPr="00D903CD">
        <w:t xml:space="preserve"> </w:t>
      </w:r>
      <w:r w:rsidR="00AD5423" w:rsidRPr="00D903CD">
        <w:t>et viennent principalement d</w:t>
      </w:r>
      <w:r w:rsidR="006B1ABB" w:rsidRPr="00D903CD">
        <w:t>es</w:t>
      </w:r>
      <w:r w:rsidR="00AD5423" w:rsidRPr="00D903CD">
        <w:t xml:space="preserve"> secteur</w:t>
      </w:r>
      <w:r w:rsidR="006B1ABB" w:rsidRPr="00D903CD">
        <w:t>s</w:t>
      </w:r>
      <w:r w:rsidR="000800DE" w:rsidRPr="00D903CD">
        <w:t xml:space="preserve"> </w:t>
      </w:r>
      <w:r w:rsidR="00B446D4">
        <w:t>« </w:t>
      </w:r>
      <w:r w:rsidR="00A862D6">
        <w:t>Santé</w:t>
      </w:r>
      <w:r w:rsidR="00B446D4">
        <w:t> » pour 2</w:t>
      </w:r>
      <w:r w:rsidR="00A862D6">
        <w:t>0</w:t>
      </w:r>
      <w:r w:rsidR="00B446D4">
        <w:t>,</w:t>
      </w:r>
      <w:r w:rsidR="00A862D6">
        <w:t>8</w:t>
      </w:r>
      <w:r w:rsidR="00B446D4">
        <w:t xml:space="preserve"> %, </w:t>
      </w:r>
      <w:r w:rsidR="00BD78DB" w:rsidRPr="00D903CD">
        <w:t>«</w:t>
      </w:r>
      <w:r w:rsidR="00A862D6">
        <w:t xml:space="preserve"> Automobile </w:t>
      </w:r>
      <w:r w:rsidR="0071009F">
        <w:t xml:space="preserve">» </w:t>
      </w:r>
      <w:r w:rsidR="005E449F" w:rsidRPr="00D903CD">
        <w:t xml:space="preserve">pour </w:t>
      </w:r>
      <w:r w:rsidR="004B63B3">
        <w:t>1</w:t>
      </w:r>
      <w:r w:rsidR="00A862D6">
        <w:t>8</w:t>
      </w:r>
      <w:r w:rsidR="004B63B3">
        <w:t>,</w:t>
      </w:r>
      <w:r w:rsidR="00A862D6">
        <w:t>5</w:t>
      </w:r>
      <w:r w:rsidR="004B63B3">
        <w:t xml:space="preserve"> </w:t>
      </w:r>
      <w:r w:rsidR="00174CDE" w:rsidRPr="00D903CD">
        <w:t>%,</w:t>
      </w:r>
      <w:r w:rsidR="00DF37C5">
        <w:t xml:space="preserve"> </w:t>
      </w:r>
      <w:r w:rsidR="001525D6">
        <w:t>suivis d</w:t>
      </w:r>
      <w:r w:rsidR="0011295F">
        <w:t xml:space="preserve">es </w:t>
      </w:r>
      <w:r w:rsidR="001525D6">
        <w:t>secteur</w:t>
      </w:r>
      <w:r w:rsidR="0011295F">
        <w:t>s</w:t>
      </w:r>
      <w:r w:rsidR="001525D6">
        <w:t xml:space="preserve"> </w:t>
      </w:r>
      <w:r w:rsidR="00DF37C5">
        <w:t>« </w:t>
      </w:r>
      <w:r w:rsidR="00A862D6">
        <w:t>Equipement de la personne</w:t>
      </w:r>
      <w:r w:rsidR="00B60D00">
        <w:t xml:space="preserve"> </w:t>
      </w:r>
      <w:r w:rsidR="00DF37C5">
        <w:t>»</w:t>
      </w:r>
      <w:r w:rsidR="007C34DE">
        <w:t xml:space="preserve"> (</w:t>
      </w:r>
      <w:r w:rsidR="004B63B3">
        <w:t>1</w:t>
      </w:r>
      <w:r w:rsidR="00A862D6">
        <w:t>6</w:t>
      </w:r>
      <w:r w:rsidR="007C34DE">
        <w:t>,</w:t>
      </w:r>
      <w:r w:rsidR="00A862D6">
        <w:t>7</w:t>
      </w:r>
      <w:r w:rsidR="007C34DE">
        <w:t>%)</w:t>
      </w:r>
      <w:r w:rsidR="00B60D00">
        <w:t xml:space="preserve">, </w:t>
      </w:r>
      <w:r w:rsidR="00174CDE" w:rsidRPr="00D903CD">
        <w:t>«</w:t>
      </w:r>
      <w:r w:rsidR="00A862D6">
        <w:t xml:space="preserve"> Culture et loisirs</w:t>
      </w:r>
      <w:r w:rsidR="0071009F">
        <w:t>» (1</w:t>
      </w:r>
      <w:r w:rsidR="004B63B3">
        <w:t>5</w:t>
      </w:r>
      <w:r w:rsidR="0071009F">
        <w:t>,</w:t>
      </w:r>
      <w:r w:rsidR="00A862D6">
        <w:t>4</w:t>
      </w:r>
      <w:r w:rsidR="0011295F">
        <w:t>%) %</w:t>
      </w:r>
      <w:r w:rsidR="0071009F">
        <w:t xml:space="preserve"> et « </w:t>
      </w:r>
      <w:r w:rsidR="004B63B3">
        <w:t xml:space="preserve">Equipement de la maison </w:t>
      </w:r>
      <w:r w:rsidR="0071009F">
        <w:t>» (</w:t>
      </w:r>
      <w:r w:rsidR="00A862D6">
        <w:t>15,0</w:t>
      </w:r>
      <w:r w:rsidR="0071009F">
        <w:t>%)</w:t>
      </w:r>
      <w:r w:rsidR="0011295F">
        <w:t xml:space="preserve">. </w:t>
      </w:r>
      <w:r w:rsidR="00DF37C5">
        <w:t>Le</w:t>
      </w:r>
      <w:r w:rsidR="0011295F">
        <w:t>s</w:t>
      </w:r>
      <w:r w:rsidR="00DF37C5">
        <w:t xml:space="preserve"> secteur</w:t>
      </w:r>
      <w:r w:rsidR="0011295F">
        <w:t>s</w:t>
      </w:r>
      <w:r w:rsidR="00DF37C5">
        <w:t xml:space="preserve"> </w:t>
      </w:r>
      <w:r w:rsidR="003D567E">
        <w:t>« </w:t>
      </w:r>
      <w:r w:rsidR="00A862D6">
        <w:t>Commerce de détail alimentaire</w:t>
      </w:r>
      <w:r w:rsidR="003D567E">
        <w:t> »</w:t>
      </w:r>
      <w:r w:rsidR="0071009F">
        <w:t xml:space="preserve"> et </w:t>
      </w:r>
      <w:r w:rsidR="003D567E">
        <w:t>«</w:t>
      </w:r>
      <w:r w:rsidR="00A77BD7">
        <w:t xml:space="preserve"> </w:t>
      </w:r>
      <w:r w:rsidR="00A862D6">
        <w:t>transports</w:t>
      </w:r>
      <w:r w:rsidR="00A77BD7">
        <w:t xml:space="preserve"> </w:t>
      </w:r>
      <w:r w:rsidR="003D567E">
        <w:t>»</w:t>
      </w:r>
      <w:r w:rsidR="0011295F">
        <w:t xml:space="preserve"> </w:t>
      </w:r>
      <w:r w:rsidR="00DF37C5">
        <w:t>arrive</w:t>
      </w:r>
      <w:r w:rsidR="0011295F">
        <w:t>nt</w:t>
      </w:r>
      <w:r w:rsidR="00DF37C5">
        <w:t xml:space="preserve"> en dernier avec </w:t>
      </w:r>
      <w:r w:rsidR="0011295F">
        <w:t xml:space="preserve"> respectivement (</w:t>
      </w:r>
      <w:r w:rsidR="00A862D6">
        <w:t>8,9</w:t>
      </w:r>
      <w:r w:rsidR="00DF37C5">
        <w:t>%</w:t>
      </w:r>
      <w:r w:rsidR="0011295F">
        <w:t>) et (</w:t>
      </w:r>
      <w:r w:rsidR="00A862D6">
        <w:t>7,3</w:t>
      </w:r>
      <w:r w:rsidR="0011295F">
        <w:t>%)</w:t>
      </w:r>
      <w:r w:rsidR="00DF37C5">
        <w:t>.</w:t>
      </w:r>
    </w:p>
    <w:p w14:paraId="2814100D" w14:textId="77777777" w:rsidR="00F1713D" w:rsidRPr="00D903CD" w:rsidRDefault="00F1713D" w:rsidP="001A3A05">
      <w:pPr>
        <w:ind w:right="16"/>
        <w:jc w:val="center"/>
        <w:rPr>
          <w:i/>
        </w:rPr>
      </w:pPr>
    </w:p>
    <w:p w14:paraId="24B88CFB" w14:textId="77777777" w:rsidR="00A278C9" w:rsidRPr="00D903CD" w:rsidRDefault="00A278C9" w:rsidP="001A3A05">
      <w:pPr>
        <w:ind w:right="16"/>
        <w:jc w:val="center"/>
        <w:rPr>
          <w:i/>
        </w:rPr>
      </w:pPr>
    </w:p>
    <w:p w14:paraId="57052CE2" w14:textId="77777777" w:rsidR="00BA61AF" w:rsidRPr="00D903CD" w:rsidRDefault="00BA61AF" w:rsidP="001A3A05">
      <w:pPr>
        <w:ind w:right="16"/>
        <w:jc w:val="center"/>
        <w:rPr>
          <w:i/>
        </w:rPr>
      </w:pPr>
    </w:p>
    <w:p w14:paraId="7C97C0AD" w14:textId="7C8D5CFB" w:rsidR="00BA61AF" w:rsidRPr="00D903CD" w:rsidRDefault="00932E70" w:rsidP="00932E70">
      <w:pPr>
        <w:tabs>
          <w:tab w:val="left" w:pos="195"/>
        </w:tabs>
        <w:ind w:right="16"/>
        <w:rPr>
          <w:i/>
        </w:rPr>
      </w:pPr>
      <w:r>
        <w:rPr>
          <w:i/>
        </w:rPr>
        <w:tab/>
      </w:r>
    </w:p>
    <w:p w14:paraId="64C7A03C" w14:textId="74724BD9" w:rsidR="002C2952" w:rsidRPr="00D903CD" w:rsidRDefault="00932E70" w:rsidP="001A3A05">
      <w:pPr>
        <w:ind w:right="16"/>
        <w:jc w:val="center"/>
        <w:rPr>
          <w:i/>
        </w:rPr>
      </w:pPr>
      <w:r>
        <w:rPr>
          <w:noProof/>
          <w:lang w:eastAsia="fr-FR"/>
        </w:rPr>
        <w:lastRenderedPageBreak/>
        <w:drawing>
          <wp:inline distT="0" distB="0" distL="0" distR="0" wp14:anchorId="5FD4A802" wp14:editId="7C3E4F61">
            <wp:extent cx="6143625" cy="4343400"/>
            <wp:effectExtent l="0" t="0" r="9525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AA23CB" w14:textId="77777777" w:rsidR="00A862D6" w:rsidRDefault="00A862D6" w:rsidP="001A3A05">
      <w:pPr>
        <w:ind w:right="16"/>
        <w:jc w:val="center"/>
        <w:rPr>
          <w:i/>
        </w:rPr>
      </w:pPr>
    </w:p>
    <w:p w14:paraId="5703322E" w14:textId="0C34B255" w:rsidR="001A3A05" w:rsidRPr="00D903CD" w:rsidRDefault="001A3A05" w:rsidP="001A3A05">
      <w:pPr>
        <w:ind w:right="16"/>
        <w:jc w:val="center"/>
        <w:rPr>
          <w:i/>
        </w:rPr>
      </w:pPr>
      <w:r w:rsidRPr="00D903CD">
        <w:rPr>
          <w:i/>
        </w:rPr>
        <w:t>3 - Effectif actuel et variation d’effectif au cours des 3 derniers mois</w:t>
      </w:r>
      <w:r w:rsidR="00F13685" w:rsidRPr="00D903CD">
        <w:rPr>
          <w:i/>
        </w:rPr>
        <w:t xml:space="preserve"> et des 3 prochains mois </w:t>
      </w:r>
    </w:p>
    <w:p w14:paraId="30A8F537" w14:textId="2032EBB5" w:rsidR="00AD5423" w:rsidRPr="00D903CD" w:rsidRDefault="00AD5423" w:rsidP="00BD78DB">
      <w:pPr>
        <w:ind w:right="16"/>
        <w:jc w:val="both"/>
      </w:pPr>
      <w:r w:rsidRPr="00D903CD">
        <w:t xml:space="preserve">L’effectif moyen </w:t>
      </w:r>
      <w:r w:rsidR="00AF67BF" w:rsidRPr="00D903CD">
        <w:t xml:space="preserve">actuel </w:t>
      </w:r>
      <w:r w:rsidRPr="00D903CD">
        <w:t xml:space="preserve">est de </w:t>
      </w:r>
      <w:r w:rsidR="006F2CC7">
        <w:t>1</w:t>
      </w:r>
      <w:r w:rsidR="00B60D00">
        <w:t>,</w:t>
      </w:r>
      <w:r w:rsidR="008C0199">
        <w:t>42</w:t>
      </w:r>
      <w:r w:rsidR="00B60D00">
        <w:t>.</w:t>
      </w:r>
      <w:r w:rsidR="001A19BE" w:rsidRPr="00D903CD">
        <w:t xml:space="preserve"> Pour </w:t>
      </w:r>
      <w:r w:rsidR="00B60D00">
        <w:t xml:space="preserve">ce </w:t>
      </w:r>
      <w:r w:rsidR="008C0199">
        <w:t xml:space="preserve">troisième </w:t>
      </w:r>
      <w:r w:rsidR="00B60D00">
        <w:t>trimestre 2022</w:t>
      </w:r>
      <w:r w:rsidR="00621D32" w:rsidRPr="00D903CD">
        <w:t xml:space="preserve">, </w:t>
      </w:r>
      <w:r w:rsidR="001A19BE" w:rsidRPr="00D903CD">
        <w:t xml:space="preserve">le </w:t>
      </w:r>
      <w:r w:rsidRPr="00D903CD">
        <w:t xml:space="preserve">secteur </w:t>
      </w:r>
      <w:r w:rsidR="00BD78DB" w:rsidRPr="00D903CD">
        <w:t>«</w:t>
      </w:r>
      <w:r w:rsidR="00B60D00">
        <w:t xml:space="preserve"> Bâtiment </w:t>
      </w:r>
      <w:r w:rsidRPr="00D903CD">
        <w:t>» est celui qui recense</w:t>
      </w:r>
      <w:r w:rsidR="00961756" w:rsidRPr="00D903CD">
        <w:t xml:space="preserve"> </w:t>
      </w:r>
      <w:r w:rsidRPr="00D903CD">
        <w:t>le plus d’effecti</w:t>
      </w:r>
      <w:r w:rsidR="00B60D00">
        <w:t>f</w:t>
      </w:r>
      <w:r w:rsidRPr="00D903CD">
        <w:t xml:space="preserve"> (</w:t>
      </w:r>
      <w:r w:rsidR="008C0199">
        <w:t>19,4</w:t>
      </w:r>
      <w:r w:rsidR="001A19BE" w:rsidRPr="00D903CD">
        <w:t>%</w:t>
      </w:r>
      <w:r w:rsidRPr="00D903CD">
        <w:t>)</w:t>
      </w:r>
      <w:r w:rsidR="00BD78DB" w:rsidRPr="00D903CD">
        <w:t xml:space="preserve"> </w:t>
      </w:r>
      <w:r w:rsidRPr="00D903CD">
        <w:t>suivi</w:t>
      </w:r>
      <w:r w:rsidR="004129BF">
        <w:t>s</w:t>
      </w:r>
      <w:r w:rsidRPr="00D903CD">
        <w:t xml:space="preserve"> </w:t>
      </w:r>
      <w:r w:rsidR="000800DE" w:rsidRPr="00D903CD">
        <w:t>d</w:t>
      </w:r>
      <w:r w:rsidR="00D647A7" w:rsidRPr="00D903CD">
        <w:t>es</w:t>
      </w:r>
      <w:r w:rsidR="0083144B">
        <w:t xml:space="preserve"> secteurs </w:t>
      </w:r>
      <w:r w:rsidR="00BB6FF5" w:rsidRPr="00D903CD">
        <w:t>«</w:t>
      </w:r>
      <w:r w:rsidR="00A77BD7">
        <w:t xml:space="preserve"> </w:t>
      </w:r>
      <w:r w:rsidR="00141F53">
        <w:t>Santé</w:t>
      </w:r>
      <w:r w:rsidR="00B60D00">
        <w:t xml:space="preserve"> </w:t>
      </w:r>
      <w:r w:rsidR="00BB6FF5" w:rsidRPr="00D903CD">
        <w:t>»</w:t>
      </w:r>
      <w:r w:rsidR="006B0117">
        <w:t xml:space="preserve"> </w:t>
      </w:r>
      <w:r w:rsidR="00CF4072" w:rsidRPr="00D903CD">
        <w:t>et</w:t>
      </w:r>
      <w:r w:rsidR="0083144B">
        <w:t xml:space="preserve"> « </w:t>
      </w:r>
      <w:r w:rsidR="008C0199">
        <w:t>Commerce de détail alimentaire</w:t>
      </w:r>
      <w:r w:rsidR="0083144B">
        <w:t> »</w:t>
      </w:r>
      <w:r w:rsidR="00CF4072" w:rsidRPr="00D903CD">
        <w:t xml:space="preserve"> </w:t>
      </w:r>
      <w:r w:rsidR="001A19BE" w:rsidRPr="00D903CD">
        <w:t xml:space="preserve">qui </w:t>
      </w:r>
      <w:r w:rsidR="000269B8" w:rsidRPr="00D903CD">
        <w:t>affiche</w:t>
      </w:r>
      <w:r w:rsidR="001A19BE" w:rsidRPr="00D903CD">
        <w:t xml:space="preserve">nt </w:t>
      </w:r>
      <w:r w:rsidR="000269B8" w:rsidRPr="00D903CD">
        <w:t xml:space="preserve"> </w:t>
      </w:r>
      <w:r w:rsidR="00951540" w:rsidRPr="00D903CD">
        <w:t xml:space="preserve">respectivement </w:t>
      </w:r>
      <w:r w:rsidR="008C0199">
        <w:t>11,9</w:t>
      </w:r>
      <w:r w:rsidR="001A19BE" w:rsidRPr="00D903CD">
        <w:t xml:space="preserve">%  et </w:t>
      </w:r>
      <w:r w:rsidR="008C0199">
        <w:t>9</w:t>
      </w:r>
      <w:r w:rsidR="00141F53">
        <w:t>,2</w:t>
      </w:r>
      <w:r w:rsidRPr="00D903CD">
        <w:t>%</w:t>
      </w:r>
      <w:r w:rsidR="00A657C5" w:rsidRPr="00D903CD">
        <w:t>.</w:t>
      </w:r>
      <w:r w:rsidR="00951540" w:rsidRPr="00D903CD">
        <w:t xml:space="preserve"> </w:t>
      </w:r>
      <w:r w:rsidR="00A657C5" w:rsidRPr="00D903CD">
        <w:t>L</w:t>
      </w:r>
      <w:r w:rsidR="00BD78DB" w:rsidRPr="00D903CD">
        <w:t>e secteur «</w:t>
      </w:r>
      <w:r w:rsidR="00A77BD7">
        <w:t xml:space="preserve"> </w:t>
      </w:r>
      <w:r w:rsidR="00B60D00">
        <w:t xml:space="preserve">Culture et Loisirs </w:t>
      </w:r>
      <w:r w:rsidR="000800DE" w:rsidRPr="00D903CD">
        <w:t>»</w:t>
      </w:r>
      <w:r w:rsidR="00BD78DB" w:rsidRPr="00D903CD">
        <w:t xml:space="preserve"> </w:t>
      </w:r>
      <w:r w:rsidRPr="00D903CD">
        <w:t xml:space="preserve">arrive en dernier avec </w:t>
      </w:r>
      <w:r w:rsidR="00141F53">
        <w:t>0</w:t>
      </w:r>
      <w:r w:rsidR="00B60D00">
        <w:t>,</w:t>
      </w:r>
      <w:r w:rsidR="008C0199">
        <w:t>9</w:t>
      </w:r>
      <w:r w:rsidRPr="00D903CD">
        <w:t>%.</w:t>
      </w:r>
    </w:p>
    <w:p w14:paraId="5CD40509" w14:textId="2AD4BC92" w:rsidR="00AD5423" w:rsidRDefault="00AD5423" w:rsidP="00BD78DB">
      <w:pPr>
        <w:ind w:right="16"/>
        <w:jc w:val="both"/>
      </w:pPr>
      <w:r w:rsidRPr="00941FB0">
        <w:t xml:space="preserve">Au cours des 3 </w:t>
      </w:r>
      <w:r w:rsidR="00F44D74" w:rsidRPr="00941FB0">
        <w:t xml:space="preserve">derniers </w:t>
      </w:r>
      <w:r w:rsidRPr="00941FB0">
        <w:t xml:space="preserve">mois </w:t>
      </w:r>
      <w:r w:rsidR="00A1198F" w:rsidRPr="00941FB0">
        <w:t>4</w:t>
      </w:r>
      <w:r w:rsidR="00972D5B">
        <w:t>1</w:t>
      </w:r>
      <w:r w:rsidR="00A1198F" w:rsidRPr="00941FB0">
        <w:t>,</w:t>
      </w:r>
      <w:r w:rsidR="00972D5B">
        <w:t>8</w:t>
      </w:r>
      <w:r w:rsidRPr="00941FB0">
        <w:t xml:space="preserve">% des entreprises interrogées ont vu leur effectif varier à la hausse (en moyenne </w:t>
      </w:r>
      <w:r w:rsidR="005F5F96" w:rsidRPr="00941FB0">
        <w:t>1</w:t>
      </w:r>
      <w:r w:rsidR="00120075" w:rsidRPr="00941FB0">
        <w:t>,</w:t>
      </w:r>
      <w:r w:rsidR="00972D5B">
        <w:t>3</w:t>
      </w:r>
      <w:r w:rsidR="00F22EE8" w:rsidRPr="00941FB0">
        <w:t xml:space="preserve"> personne</w:t>
      </w:r>
      <w:r w:rsidRPr="00941FB0">
        <w:t>)</w:t>
      </w:r>
      <w:r w:rsidR="00BD78DB" w:rsidRPr="00941FB0">
        <w:t xml:space="preserve"> </w:t>
      </w:r>
      <w:r w:rsidRPr="00941FB0">
        <w:t xml:space="preserve">et </w:t>
      </w:r>
      <w:r w:rsidR="00A1198F" w:rsidRPr="00941FB0">
        <w:t>5</w:t>
      </w:r>
      <w:r w:rsidR="00972D5B">
        <w:t>8</w:t>
      </w:r>
      <w:r w:rsidR="00A1198F" w:rsidRPr="00941FB0">
        <w:t>,</w:t>
      </w:r>
      <w:r w:rsidR="00972D5B">
        <w:t>2</w:t>
      </w:r>
      <w:r w:rsidR="006B3692" w:rsidRPr="00941FB0">
        <w:t xml:space="preserve"> </w:t>
      </w:r>
      <w:r w:rsidRPr="00941FB0">
        <w:t>% à la baisse (en moyenne</w:t>
      </w:r>
      <w:r w:rsidR="00BD78DB" w:rsidRPr="00941FB0">
        <w:t xml:space="preserve"> </w:t>
      </w:r>
      <w:r w:rsidR="00972D5B">
        <w:t>1,09</w:t>
      </w:r>
      <w:r w:rsidR="005A00BF" w:rsidRPr="00941FB0">
        <w:t xml:space="preserve"> </w:t>
      </w:r>
      <w:r w:rsidR="00BD78DB" w:rsidRPr="00941FB0">
        <w:t>personne</w:t>
      </w:r>
      <w:r w:rsidR="002F5982" w:rsidRPr="00941FB0">
        <w:t>s</w:t>
      </w:r>
      <w:r w:rsidR="00BD78DB" w:rsidRPr="00941FB0">
        <w:t>).</w:t>
      </w:r>
    </w:p>
    <w:p w14:paraId="4CD2241A" w14:textId="24E229F0" w:rsidR="00F22EE8" w:rsidRPr="00D903CD" w:rsidRDefault="00932E70" w:rsidP="00F22EE8">
      <w:pPr>
        <w:ind w:right="16"/>
        <w:jc w:val="center"/>
      </w:pPr>
      <w:r>
        <w:rPr>
          <w:noProof/>
          <w:lang w:eastAsia="fr-FR"/>
        </w:rPr>
        <w:drawing>
          <wp:inline distT="0" distB="0" distL="0" distR="0" wp14:anchorId="136F954A" wp14:editId="4D4EF777">
            <wp:extent cx="6192000" cy="3009900"/>
            <wp:effectExtent l="0" t="0" r="18415" b="0"/>
            <wp:docPr id="14" name="Graphique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4BFE09F" w14:textId="77777777" w:rsidR="00AD5423" w:rsidRPr="00D903CD" w:rsidRDefault="00792186" w:rsidP="00AD5423">
      <w:pPr>
        <w:ind w:right="16"/>
        <w:jc w:val="center"/>
        <w:rPr>
          <w:i/>
        </w:rPr>
      </w:pPr>
      <w:r w:rsidRPr="00D903CD">
        <w:rPr>
          <w:i/>
        </w:rPr>
        <w:br w:type="page"/>
      </w:r>
      <w:r w:rsidR="00AD5423" w:rsidRPr="00D903CD">
        <w:rPr>
          <w:i/>
        </w:rPr>
        <w:lastRenderedPageBreak/>
        <w:t>Prévision d'embauche dans les 3 prochains mois</w:t>
      </w:r>
    </w:p>
    <w:p w14:paraId="4019122C" w14:textId="0E8DCE8F" w:rsidR="00CF3E05" w:rsidRPr="00D903CD" w:rsidRDefault="00932E70" w:rsidP="00AD542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713A006A" wp14:editId="555B4497">
            <wp:extent cx="6192000" cy="3009900"/>
            <wp:effectExtent l="0" t="0" r="18415" b="0"/>
            <wp:docPr id="15" name="Graphique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DAF6BB" w14:textId="56847278" w:rsidR="00AD5423" w:rsidRPr="00D903CD" w:rsidRDefault="00CF3E05" w:rsidP="00BD78DB">
      <w:pPr>
        <w:ind w:right="16"/>
        <w:jc w:val="both"/>
      </w:pPr>
      <w:r w:rsidRPr="00D903CD">
        <w:t xml:space="preserve">Au cours </w:t>
      </w:r>
      <w:r w:rsidR="00D446D1" w:rsidRPr="00D903CD">
        <w:t xml:space="preserve">de </w:t>
      </w:r>
      <w:r w:rsidR="005D4F0C" w:rsidRPr="00D903CD">
        <w:t xml:space="preserve">ce </w:t>
      </w:r>
      <w:r w:rsidR="00143C8C">
        <w:t xml:space="preserve">troisième </w:t>
      </w:r>
      <w:r w:rsidR="002B15C5">
        <w:t>trimestre 202</w:t>
      </w:r>
      <w:r w:rsidR="00913CAD">
        <w:t>2</w:t>
      </w:r>
      <w:r w:rsidR="005A00BF">
        <w:t>,</w:t>
      </w:r>
      <w:r w:rsidR="00A1198F">
        <w:t xml:space="preserve"> </w:t>
      </w:r>
      <w:r w:rsidR="00143C8C">
        <w:t>6,5</w:t>
      </w:r>
      <w:r w:rsidR="004F7F5A" w:rsidRPr="00D903CD">
        <w:t xml:space="preserve">% </w:t>
      </w:r>
      <w:r w:rsidR="00A657C5" w:rsidRPr="00D903CD">
        <w:t xml:space="preserve">des entreprises interrogées </w:t>
      </w:r>
      <w:r w:rsidR="00AD5423" w:rsidRPr="00D903CD">
        <w:t>souhaitent recruter, en moyenne</w:t>
      </w:r>
      <w:r w:rsidR="00BD78DB" w:rsidRPr="00D903CD">
        <w:t xml:space="preserve"> </w:t>
      </w:r>
      <w:r w:rsidR="000410F0">
        <w:t>1,</w:t>
      </w:r>
      <w:r w:rsidR="00143C8C">
        <w:t>4</w:t>
      </w:r>
      <w:r w:rsidR="00B775FA">
        <w:t xml:space="preserve"> </w:t>
      </w:r>
      <w:r w:rsidR="00AD5423" w:rsidRPr="00D903CD">
        <w:t>personne. Les secteurs les plus concernés sont le</w:t>
      </w:r>
      <w:r w:rsidR="00913CAD">
        <w:t>s</w:t>
      </w:r>
      <w:r w:rsidR="00AD5423" w:rsidRPr="00D903CD">
        <w:t xml:space="preserve"> secteur</w:t>
      </w:r>
      <w:r w:rsidR="00913CAD">
        <w:t xml:space="preserve">s </w:t>
      </w:r>
      <w:r w:rsidR="000410F0">
        <w:t xml:space="preserve">de la </w:t>
      </w:r>
      <w:r w:rsidR="00B775FA">
        <w:t>«</w:t>
      </w:r>
      <w:r w:rsidR="00032367">
        <w:t xml:space="preserve"> </w:t>
      </w:r>
      <w:r w:rsidR="00763E86">
        <w:t>Santé</w:t>
      </w:r>
      <w:r w:rsidR="00032367">
        <w:t xml:space="preserve"> </w:t>
      </w:r>
      <w:r w:rsidR="002B15C5">
        <w:t>»</w:t>
      </w:r>
      <w:r w:rsidR="006A607E">
        <w:t xml:space="preserve"> </w:t>
      </w:r>
      <w:r w:rsidR="00143C8C">
        <w:t>25</w:t>
      </w:r>
      <w:r w:rsidR="006A607E">
        <w:t>%</w:t>
      </w:r>
      <w:r w:rsidR="002B15C5">
        <w:t xml:space="preserve"> et </w:t>
      </w:r>
      <w:r w:rsidR="000410F0">
        <w:t>« </w:t>
      </w:r>
      <w:r w:rsidR="00143C8C">
        <w:t xml:space="preserve">Automobile </w:t>
      </w:r>
      <w:r w:rsidR="000410F0">
        <w:t>» 1</w:t>
      </w:r>
      <w:r w:rsidR="00143C8C">
        <w:t>3</w:t>
      </w:r>
      <w:r w:rsidR="00D31F0C">
        <w:t>,3</w:t>
      </w:r>
      <w:r w:rsidR="00D86623">
        <w:t>%</w:t>
      </w:r>
      <w:r w:rsidR="009E04C6">
        <w:t xml:space="preserve"> de la profession</w:t>
      </w:r>
      <w:r w:rsidR="00913CAD">
        <w:t xml:space="preserve">, </w:t>
      </w:r>
      <w:r w:rsidR="009E04C6">
        <w:t xml:space="preserve">suivis des </w:t>
      </w:r>
      <w:r w:rsidR="00AD5423" w:rsidRPr="00D903CD">
        <w:t>secteur</w:t>
      </w:r>
      <w:r w:rsidR="00913806">
        <w:t>s</w:t>
      </w:r>
      <w:r w:rsidR="00EA5C82">
        <w:t xml:space="preserve"> </w:t>
      </w:r>
      <w:r w:rsidR="00EA5C82" w:rsidRPr="00D903CD">
        <w:t>«</w:t>
      </w:r>
      <w:r w:rsidR="00491DE3">
        <w:t xml:space="preserve"> </w:t>
      </w:r>
      <w:r w:rsidR="00143C8C">
        <w:t xml:space="preserve">Services </w:t>
      </w:r>
      <w:r w:rsidR="00D31F0C">
        <w:t>»</w:t>
      </w:r>
      <w:r w:rsidR="00EA5C82" w:rsidRPr="00D903CD">
        <w:t xml:space="preserve"> </w:t>
      </w:r>
      <w:r w:rsidR="00143C8C">
        <w:t>8,1</w:t>
      </w:r>
      <w:r w:rsidR="00913CAD">
        <w:t>% et</w:t>
      </w:r>
      <w:r w:rsidR="00491DE3">
        <w:t xml:space="preserve"> « Café</w:t>
      </w:r>
      <w:r w:rsidR="00143C8C">
        <w:t xml:space="preserve"> Hôtellerie Restauration</w:t>
      </w:r>
      <w:r w:rsidR="00D31F0C">
        <w:t xml:space="preserve"> » </w:t>
      </w:r>
      <w:r w:rsidR="00150E5D">
        <w:t>7</w:t>
      </w:r>
      <w:r w:rsidR="00143C8C">
        <w:t>,7</w:t>
      </w:r>
      <w:r w:rsidR="00852F6C">
        <w:t xml:space="preserve">%. </w:t>
      </w:r>
    </w:p>
    <w:p w14:paraId="1738281F" w14:textId="77777777" w:rsidR="00AD5423" w:rsidRPr="00D903CD" w:rsidRDefault="00AD5423" w:rsidP="00AD5423">
      <w:pPr>
        <w:ind w:right="16"/>
        <w:jc w:val="center"/>
        <w:rPr>
          <w:i/>
        </w:rPr>
      </w:pPr>
    </w:p>
    <w:p w14:paraId="6067EBFA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t>Prévisions de Licenciement dans les 3 prochains mois</w:t>
      </w:r>
    </w:p>
    <w:p w14:paraId="0DD4B0F0" w14:textId="5C552F54" w:rsidR="009F7B94" w:rsidRPr="00D903CD" w:rsidRDefault="00932E70" w:rsidP="009F7B94">
      <w:pPr>
        <w:ind w:right="16"/>
        <w:jc w:val="center"/>
      </w:pPr>
      <w:r>
        <w:rPr>
          <w:noProof/>
          <w:lang w:eastAsia="fr-FR"/>
        </w:rPr>
        <w:drawing>
          <wp:inline distT="0" distB="0" distL="0" distR="0" wp14:anchorId="4B059A48" wp14:editId="30FCA428">
            <wp:extent cx="5314950" cy="2705100"/>
            <wp:effectExtent l="0" t="0" r="0" b="0"/>
            <wp:docPr id="17" name="Graphique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9495DE" w14:textId="4FB9D89B" w:rsidR="00E903C9" w:rsidRDefault="005D4F0C" w:rsidP="005A00BF">
      <w:pPr>
        <w:ind w:left="360" w:right="16"/>
      </w:pPr>
      <w:r w:rsidRPr="00D903CD">
        <w:t xml:space="preserve">Ce </w:t>
      </w:r>
      <w:r w:rsidR="00AD5423" w:rsidRPr="00D903CD">
        <w:t>trimestre</w:t>
      </w:r>
      <w:r w:rsidR="009D4828" w:rsidRPr="00D903CD">
        <w:t xml:space="preserve"> </w:t>
      </w:r>
      <w:r w:rsidR="00EA779C">
        <w:t xml:space="preserve">encore </w:t>
      </w:r>
      <w:r w:rsidR="00143C8C">
        <w:t>3</w:t>
      </w:r>
      <w:r w:rsidR="00D647A7" w:rsidRPr="00D903CD">
        <w:t xml:space="preserve"> </w:t>
      </w:r>
      <w:r w:rsidR="00AD5423" w:rsidRPr="00D903CD">
        <w:t xml:space="preserve">% </w:t>
      </w:r>
      <w:r w:rsidR="00A278C9" w:rsidRPr="00D903CD">
        <w:t>d</w:t>
      </w:r>
      <w:r w:rsidR="00AD5423" w:rsidRPr="00D903CD">
        <w:t>es entreprises envisagent au moins un licenciement</w:t>
      </w:r>
      <w:r w:rsidRPr="00D903CD">
        <w:t xml:space="preserve"> </w:t>
      </w:r>
      <w:r w:rsidR="00EA779C">
        <w:t xml:space="preserve">comme pour </w:t>
      </w:r>
      <w:r w:rsidR="004B1492" w:rsidRPr="00D903CD">
        <w:t>le trimestre précédent</w:t>
      </w:r>
      <w:r w:rsidR="00D31F0C">
        <w:t xml:space="preserve"> (2,</w:t>
      </w:r>
      <w:r w:rsidR="00143C8C">
        <w:t>8</w:t>
      </w:r>
      <w:r w:rsidR="00D31F0C">
        <w:t>%)</w:t>
      </w:r>
      <w:r w:rsidR="00BD78DB" w:rsidRPr="00D903CD">
        <w:t xml:space="preserve">. </w:t>
      </w:r>
      <w:r w:rsidR="00AD5423" w:rsidRPr="00D903CD">
        <w:t xml:space="preserve">Cela représenterait </w:t>
      </w:r>
      <w:r w:rsidR="00E903C9">
        <w:t>1</w:t>
      </w:r>
      <w:r w:rsidR="00913806">
        <w:t>,</w:t>
      </w:r>
      <w:r w:rsidR="00143C8C">
        <w:t>25</w:t>
      </w:r>
      <w:r w:rsidR="00BD78DB" w:rsidRPr="00D903CD">
        <w:t xml:space="preserve"> </w:t>
      </w:r>
      <w:r w:rsidR="00AD5423" w:rsidRPr="00D903CD">
        <w:t>poste supprimé</w:t>
      </w:r>
      <w:r w:rsidR="00D84993" w:rsidRPr="00D903CD">
        <w:t>. L</w:t>
      </w:r>
      <w:r w:rsidR="00AD5423" w:rsidRPr="00D903CD">
        <w:t>es secteurs les plus concernés sont le</w:t>
      </w:r>
      <w:r w:rsidR="00941FB0">
        <w:t xml:space="preserve">s secteurs </w:t>
      </w:r>
      <w:r w:rsidR="00913806" w:rsidRPr="00D903CD">
        <w:t>«</w:t>
      </w:r>
      <w:r w:rsidR="001E7F30">
        <w:t xml:space="preserve"> Services</w:t>
      </w:r>
      <w:r w:rsidR="00913806" w:rsidRPr="00D903CD">
        <w:t>»</w:t>
      </w:r>
      <w:r w:rsidR="001E7F30">
        <w:t xml:space="preserve"> (8,1%)</w:t>
      </w:r>
      <w:r w:rsidR="00913806">
        <w:t xml:space="preserve">  et </w:t>
      </w:r>
      <w:r w:rsidR="00A4168E">
        <w:t>«</w:t>
      </w:r>
      <w:r w:rsidR="001E7F30">
        <w:t>Hôtel Café Restauration</w:t>
      </w:r>
      <w:r w:rsidR="00941FB0">
        <w:t>»</w:t>
      </w:r>
      <w:r w:rsidR="00E903C9">
        <w:t> </w:t>
      </w:r>
      <w:r w:rsidR="001E7F30">
        <w:t>(7,7%)</w:t>
      </w:r>
      <w:r w:rsidR="00E903C9">
        <w:t xml:space="preserve"> </w:t>
      </w:r>
      <w:r w:rsidR="00543F07" w:rsidRPr="00D903CD">
        <w:t>suivi</w:t>
      </w:r>
      <w:r w:rsidR="00980F08" w:rsidRPr="00D903CD">
        <w:t>s</w:t>
      </w:r>
      <w:r w:rsidR="00543F07" w:rsidRPr="00D903CD">
        <w:t xml:space="preserve"> des secteurs </w:t>
      </w:r>
      <w:r w:rsidR="00590B6B" w:rsidRPr="00D903CD">
        <w:t xml:space="preserve"> </w:t>
      </w:r>
      <w:r w:rsidR="00BA7D47">
        <w:t>«</w:t>
      </w:r>
      <w:r w:rsidR="005A00BF">
        <w:t> </w:t>
      </w:r>
      <w:r w:rsidR="001E7F30">
        <w:t>Bâtiment</w:t>
      </w:r>
      <w:r w:rsidR="00E903C9">
        <w:t xml:space="preserve"> » </w:t>
      </w:r>
      <w:r w:rsidR="001E7F30">
        <w:t>5,3</w:t>
      </w:r>
      <w:r w:rsidR="00E903C9">
        <w:t>%, « </w:t>
      </w:r>
      <w:r w:rsidR="001E7F30">
        <w:t>Com</w:t>
      </w:r>
      <w:r w:rsidR="00491DE3">
        <w:t>m</w:t>
      </w:r>
      <w:r w:rsidR="001E7F30">
        <w:t>erce de détail alimentaire</w:t>
      </w:r>
      <w:r w:rsidR="00941FB0">
        <w:t xml:space="preserve"> </w:t>
      </w:r>
      <w:r w:rsidR="00E903C9">
        <w:t xml:space="preserve">» </w:t>
      </w:r>
      <w:r w:rsidR="001E7F30">
        <w:t>(5,2</w:t>
      </w:r>
      <w:r w:rsidR="00E903C9">
        <w:t>%</w:t>
      </w:r>
      <w:r w:rsidR="001E7F30">
        <w:t>)</w:t>
      </w:r>
      <w:r w:rsidR="00E903C9">
        <w:t xml:space="preserve"> et </w:t>
      </w:r>
      <w:r w:rsidR="00941FB0">
        <w:t>« </w:t>
      </w:r>
      <w:r w:rsidR="001E7F30">
        <w:t xml:space="preserve">Automobile </w:t>
      </w:r>
      <w:r w:rsidR="00941FB0">
        <w:t xml:space="preserve">» </w:t>
      </w:r>
      <w:r w:rsidR="001E7F30">
        <w:t xml:space="preserve">(3,3%) </w:t>
      </w:r>
      <w:r w:rsidR="00941FB0">
        <w:t xml:space="preserve">et </w:t>
      </w:r>
      <w:r w:rsidR="00E903C9">
        <w:t>« </w:t>
      </w:r>
      <w:r w:rsidR="001E7F30">
        <w:t>Santé » et « </w:t>
      </w:r>
      <w:r w:rsidR="00E903C9">
        <w:t>Beauté Esthétique</w:t>
      </w:r>
      <w:r w:rsidR="001E7F30">
        <w:t> »</w:t>
      </w:r>
      <w:r w:rsidR="00E903C9">
        <w:t xml:space="preserve"> pour </w:t>
      </w:r>
      <w:r w:rsidR="001E7F30">
        <w:t>2.1</w:t>
      </w:r>
      <w:r w:rsidR="00E903C9">
        <w:t>%</w:t>
      </w:r>
      <w:r w:rsidR="00941FB0">
        <w:t xml:space="preserve"> et </w:t>
      </w:r>
      <w:r w:rsidR="001E7F30">
        <w:t>1.9</w:t>
      </w:r>
      <w:r w:rsidR="00941FB0">
        <w:t>%</w:t>
      </w:r>
      <w:r w:rsidR="00E903C9">
        <w:t>.</w:t>
      </w:r>
      <w:r w:rsidR="00941FB0">
        <w:t xml:space="preserve"> </w:t>
      </w:r>
    </w:p>
    <w:p w14:paraId="664645B4" w14:textId="77777777" w:rsidR="00E903C9" w:rsidRDefault="00E903C9" w:rsidP="005A00BF">
      <w:pPr>
        <w:ind w:left="360" w:right="16"/>
      </w:pPr>
    </w:p>
    <w:p w14:paraId="30ED0559" w14:textId="77777777" w:rsidR="00AD5423" w:rsidRPr="00D903CD" w:rsidRDefault="00E903C9" w:rsidP="005A00BF">
      <w:pPr>
        <w:ind w:left="360" w:right="16"/>
      </w:pPr>
      <w:r>
        <w:t xml:space="preserve"> </w:t>
      </w:r>
    </w:p>
    <w:p w14:paraId="0FF303F2" w14:textId="77777777" w:rsidR="00AD5423" w:rsidRDefault="00AD5423" w:rsidP="00AD5423">
      <w:pPr>
        <w:ind w:right="16"/>
        <w:rPr>
          <w:i/>
        </w:rPr>
      </w:pPr>
    </w:p>
    <w:p w14:paraId="78EB21DE" w14:textId="77777777" w:rsidR="00BA7D47" w:rsidRDefault="00BA7D47" w:rsidP="00AD5423">
      <w:pPr>
        <w:ind w:right="16"/>
        <w:rPr>
          <w:i/>
        </w:rPr>
      </w:pPr>
    </w:p>
    <w:p w14:paraId="0022391E" w14:textId="77777777" w:rsidR="00AD5423" w:rsidRDefault="00AD5423" w:rsidP="00EA20F1">
      <w:pPr>
        <w:tabs>
          <w:tab w:val="left" w:pos="1848"/>
        </w:tabs>
        <w:ind w:right="16"/>
        <w:jc w:val="center"/>
        <w:rPr>
          <w:i/>
        </w:rPr>
      </w:pPr>
      <w:r w:rsidRPr="00D903CD">
        <w:rPr>
          <w:i/>
        </w:rPr>
        <w:t>Préoccupations majeures dans la gestion de l'entreprise</w:t>
      </w:r>
    </w:p>
    <w:p w14:paraId="616FB9EE" w14:textId="3C1D1622" w:rsidR="00C32E35" w:rsidRPr="00D903CD" w:rsidRDefault="00932E70" w:rsidP="00B27789">
      <w:pPr>
        <w:tabs>
          <w:tab w:val="left" w:pos="1848"/>
        </w:tabs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42E6F85C" wp14:editId="1FB0D874">
            <wp:extent cx="6192000" cy="2981325"/>
            <wp:effectExtent l="0" t="0" r="18415" b="9525"/>
            <wp:docPr id="18" name="Graphique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35BE48" w14:textId="77777777" w:rsidR="00AD5423" w:rsidRPr="00D903CD" w:rsidRDefault="00AD5423" w:rsidP="00AD5423">
      <w:pPr>
        <w:spacing w:after="40"/>
        <w:ind w:right="16"/>
        <w:jc w:val="center"/>
        <w:rPr>
          <w:i/>
        </w:rPr>
      </w:pPr>
      <w:r w:rsidRPr="00D903CD">
        <w:rPr>
          <w:i/>
        </w:rPr>
        <w:t>Préoccupation par tranche d'âge</w:t>
      </w:r>
    </w:p>
    <w:p w14:paraId="0CD19FCF" w14:textId="77777777" w:rsidR="00AD5423" w:rsidRPr="00D903CD" w:rsidRDefault="00AD5423" w:rsidP="00AD5423">
      <w:pPr>
        <w:spacing w:after="40"/>
        <w:ind w:right="16"/>
        <w:jc w:val="center"/>
        <w:rPr>
          <w:i/>
        </w:rPr>
      </w:pPr>
    </w:p>
    <w:p w14:paraId="60EC7EE5" w14:textId="0539BF90" w:rsidR="00FE7890" w:rsidRPr="00D903CD" w:rsidRDefault="00135FDA" w:rsidP="00EA20F1">
      <w:pPr>
        <w:spacing w:after="0"/>
        <w:ind w:right="16"/>
        <w:jc w:val="both"/>
      </w:pPr>
      <w:r>
        <w:t>Ce trimestre encore, la</w:t>
      </w:r>
      <w:r w:rsidR="00AD5423" w:rsidRPr="00D903CD">
        <w:t xml:space="preserve"> gestion financière est ce qui préoccupe le plus les entreprises, principalement les moins</w:t>
      </w:r>
      <w:r w:rsidR="00BD78DB" w:rsidRPr="00D903CD">
        <w:t xml:space="preserve"> </w:t>
      </w:r>
      <w:r w:rsidR="00AD5423" w:rsidRPr="00D903CD">
        <w:t xml:space="preserve">de </w:t>
      </w:r>
      <w:r w:rsidR="007C34DE">
        <w:t>50</w:t>
      </w:r>
      <w:r w:rsidR="00AD5423" w:rsidRPr="00D903CD">
        <w:t xml:space="preserve"> ans</w:t>
      </w:r>
      <w:r w:rsidR="00BD78DB" w:rsidRPr="00D903CD">
        <w:t xml:space="preserve"> </w:t>
      </w:r>
      <w:r w:rsidR="00AD5423" w:rsidRPr="00D903CD">
        <w:t>(</w:t>
      </w:r>
      <w:r w:rsidR="001E7F30">
        <w:t>64,8%</w:t>
      </w:r>
      <w:r w:rsidR="00AD5423" w:rsidRPr="00D903CD">
        <w:t>),</w:t>
      </w:r>
      <w:r w:rsidR="00EA20F1" w:rsidRPr="00D903CD">
        <w:t xml:space="preserve"> </w:t>
      </w:r>
      <w:r w:rsidR="00AD5423" w:rsidRPr="00D903CD">
        <w:t>le côté commercial</w:t>
      </w:r>
      <w:r w:rsidR="00BF740B">
        <w:t xml:space="preserve"> </w:t>
      </w:r>
      <w:r w:rsidR="00EE053B">
        <w:t>est la préoccupation d</w:t>
      </w:r>
      <w:r w:rsidR="00BF740B">
        <w:t>es plus de 60 ans (</w:t>
      </w:r>
      <w:r w:rsidR="001E7F30">
        <w:t>26,3</w:t>
      </w:r>
      <w:r w:rsidR="00BF740B">
        <w:t xml:space="preserve">%) </w:t>
      </w:r>
      <w:r w:rsidR="0083144B">
        <w:t>(</w:t>
      </w:r>
      <w:r w:rsidR="00FE7890" w:rsidRPr="00D903CD">
        <w:t>contre</w:t>
      </w:r>
      <w:r w:rsidR="0083144B">
        <w:t xml:space="preserve"> </w:t>
      </w:r>
      <w:r w:rsidR="001E7F30">
        <w:t>30,4</w:t>
      </w:r>
      <w:r w:rsidR="00272BF4" w:rsidRPr="00D903CD">
        <w:t>%</w:t>
      </w:r>
      <w:r w:rsidR="00FE7890" w:rsidRPr="00D903CD">
        <w:t xml:space="preserve"> le trimestre précédent</w:t>
      </w:r>
      <w:r w:rsidR="002C0BC1" w:rsidRPr="00D903CD">
        <w:t>)</w:t>
      </w:r>
      <w:r w:rsidR="00AD5423" w:rsidRPr="00D903CD">
        <w:t>.</w:t>
      </w:r>
    </w:p>
    <w:p w14:paraId="6BCD07F5" w14:textId="77777777" w:rsidR="00A02718" w:rsidRPr="00D903CD" w:rsidRDefault="00A02718" w:rsidP="00EA20F1">
      <w:pPr>
        <w:spacing w:after="0"/>
        <w:ind w:right="16"/>
        <w:jc w:val="both"/>
      </w:pPr>
    </w:p>
    <w:p w14:paraId="33B72A01" w14:textId="77777777" w:rsidR="00A02718" w:rsidRPr="00D903CD" w:rsidRDefault="00A02718" w:rsidP="00EA20F1">
      <w:pPr>
        <w:spacing w:after="0"/>
        <w:ind w:right="16"/>
        <w:jc w:val="both"/>
      </w:pPr>
    </w:p>
    <w:p w14:paraId="14D346B3" w14:textId="77777777" w:rsidR="003D7FC3" w:rsidRPr="00D903CD" w:rsidRDefault="003D7FC3" w:rsidP="00AD5423">
      <w:pPr>
        <w:spacing w:after="0"/>
        <w:ind w:right="16"/>
        <w:rPr>
          <w:noProof/>
          <w:lang w:eastAsia="fr-FR"/>
        </w:rPr>
      </w:pPr>
    </w:p>
    <w:p w14:paraId="084C0ECE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68E0BD24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10C4F2C9" w14:textId="704233EB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6EA2C14A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74DE1D8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081FC8BF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4664EEE0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92CD6A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38337EE3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A97A97A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174D6D16" w14:textId="77777777" w:rsidR="0018176F" w:rsidRDefault="0018176F" w:rsidP="00AD5423">
      <w:pPr>
        <w:spacing w:after="0"/>
        <w:ind w:right="16"/>
        <w:rPr>
          <w:noProof/>
          <w:lang w:eastAsia="fr-FR"/>
        </w:rPr>
      </w:pPr>
    </w:p>
    <w:p w14:paraId="105EAE93" w14:textId="77777777" w:rsidR="00331240" w:rsidRPr="00D903CD" w:rsidRDefault="00331240" w:rsidP="00AD5423">
      <w:pPr>
        <w:spacing w:after="0"/>
        <w:ind w:right="16"/>
        <w:rPr>
          <w:noProof/>
          <w:lang w:eastAsia="fr-FR"/>
        </w:rPr>
      </w:pPr>
    </w:p>
    <w:p w14:paraId="1B5BFF1E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3356E0D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6FC61C3" w14:textId="77777777" w:rsidR="0018176F" w:rsidRPr="00D903CD" w:rsidRDefault="0018176F" w:rsidP="00AD5423">
      <w:pPr>
        <w:spacing w:after="0"/>
        <w:ind w:right="16"/>
      </w:pPr>
    </w:p>
    <w:p w14:paraId="3B3F3E85" w14:textId="77777777" w:rsidR="00A02718" w:rsidRPr="00D903CD" w:rsidRDefault="00A02718" w:rsidP="003D7FC3">
      <w:pPr>
        <w:ind w:right="16"/>
        <w:jc w:val="center"/>
        <w:rPr>
          <w:i/>
        </w:rPr>
      </w:pPr>
    </w:p>
    <w:p w14:paraId="044E5581" w14:textId="7A05666D" w:rsidR="00A02718" w:rsidRDefault="00A02718" w:rsidP="003D7FC3">
      <w:pPr>
        <w:ind w:right="16"/>
        <w:jc w:val="center"/>
        <w:rPr>
          <w:i/>
        </w:rPr>
      </w:pPr>
    </w:p>
    <w:p w14:paraId="3C375AA9" w14:textId="329DD100" w:rsidR="00932E70" w:rsidRDefault="00932E70" w:rsidP="003D7FC3">
      <w:pPr>
        <w:ind w:right="16"/>
        <w:jc w:val="center"/>
        <w:rPr>
          <w:i/>
        </w:rPr>
      </w:pPr>
    </w:p>
    <w:p w14:paraId="6B67AB0A" w14:textId="77777777" w:rsidR="00932E70" w:rsidRDefault="00932E70" w:rsidP="003D7FC3">
      <w:pPr>
        <w:ind w:right="16"/>
        <w:jc w:val="center"/>
        <w:rPr>
          <w:i/>
        </w:rPr>
      </w:pPr>
    </w:p>
    <w:p w14:paraId="4C32D987" w14:textId="77777777" w:rsidR="00F801D6" w:rsidRDefault="00F801D6" w:rsidP="003D7FC3">
      <w:pPr>
        <w:ind w:right="16"/>
        <w:jc w:val="center"/>
        <w:rPr>
          <w:i/>
        </w:rPr>
      </w:pPr>
    </w:p>
    <w:p w14:paraId="26F2B641" w14:textId="77777777" w:rsidR="003D7FC3" w:rsidRPr="00D903CD" w:rsidRDefault="003B481C" w:rsidP="003D7FC3">
      <w:pPr>
        <w:ind w:right="16"/>
        <w:jc w:val="center"/>
        <w:rPr>
          <w:i/>
        </w:rPr>
      </w:pPr>
      <w:r w:rsidRPr="00D903CD">
        <w:rPr>
          <w:i/>
        </w:rPr>
        <w:lastRenderedPageBreak/>
        <w:t xml:space="preserve">4 - </w:t>
      </w:r>
      <w:r w:rsidR="003D7FC3" w:rsidRPr="00D903CD">
        <w:rPr>
          <w:i/>
        </w:rPr>
        <w:t>Relations avec les banques.</w:t>
      </w:r>
    </w:p>
    <w:p w14:paraId="4846A784" w14:textId="04A8C5A8" w:rsidR="003D7FC3" w:rsidRPr="00D903CD" w:rsidRDefault="00A039FD" w:rsidP="00811ED2">
      <w:pPr>
        <w:spacing w:after="40"/>
        <w:ind w:right="17"/>
      </w:pPr>
      <w:r w:rsidRPr="00D903CD">
        <w:rPr>
          <w:b/>
        </w:rPr>
        <w:t>Rappel :</w:t>
      </w:r>
      <w:r w:rsidRPr="00D903CD">
        <w:t xml:space="preserve"> La FCGA et la Banque de France mènent une enquête trimestrielle auprès d’entreprises sur leur accès au financement bancaire; </w:t>
      </w:r>
      <w:r w:rsidR="00A657C5" w:rsidRPr="00D903CD">
        <w:t>E</w:t>
      </w:r>
      <w:r w:rsidRPr="00D903CD">
        <w:t xml:space="preserve">nviron </w:t>
      </w:r>
      <w:r w:rsidR="009E33BC">
        <w:t>1</w:t>
      </w:r>
      <w:r w:rsidR="003F43E6">
        <w:t>2</w:t>
      </w:r>
      <w:r w:rsidR="009E33BC">
        <w:t>00</w:t>
      </w:r>
      <w:r w:rsidRPr="00D903CD">
        <w:t xml:space="preserve"> TPE adhérentes ont répondu, 4000 PME et 500 ETI.</w:t>
      </w:r>
    </w:p>
    <w:p w14:paraId="455245D6" w14:textId="3C7B4A68" w:rsidR="003F43E6" w:rsidRDefault="00D855C8" w:rsidP="00811ED2">
      <w:pPr>
        <w:spacing w:after="20"/>
        <w:ind w:right="17"/>
        <w:rPr>
          <w:b/>
        </w:rPr>
      </w:pPr>
      <w:r>
        <w:rPr>
          <w:b/>
        </w:rPr>
        <w:t xml:space="preserve">Pour ce </w:t>
      </w:r>
      <w:r w:rsidR="003F43E6">
        <w:rPr>
          <w:b/>
        </w:rPr>
        <w:t>3</w:t>
      </w:r>
      <w:r w:rsidR="003F43E6" w:rsidRPr="003F43E6">
        <w:rPr>
          <w:b/>
          <w:vertAlign w:val="superscript"/>
        </w:rPr>
        <w:t>ème</w:t>
      </w:r>
      <w:r w:rsidR="003F43E6">
        <w:rPr>
          <w:b/>
        </w:rPr>
        <w:t xml:space="preserve"> </w:t>
      </w:r>
      <w:r>
        <w:rPr>
          <w:b/>
        </w:rPr>
        <w:t xml:space="preserve">trimestre </w:t>
      </w:r>
      <w:r w:rsidR="00D120E5">
        <w:rPr>
          <w:b/>
        </w:rPr>
        <w:t>202</w:t>
      </w:r>
      <w:r>
        <w:rPr>
          <w:b/>
        </w:rPr>
        <w:t>2</w:t>
      </w:r>
      <w:r w:rsidR="00D120E5">
        <w:rPr>
          <w:b/>
        </w:rPr>
        <w:t xml:space="preserve">, </w:t>
      </w:r>
      <w:r w:rsidR="003F43E6">
        <w:rPr>
          <w:b/>
        </w:rPr>
        <w:t>on peut constater une hausse progressive des taux de</w:t>
      </w:r>
      <w:r w:rsidR="003C0ED2">
        <w:rPr>
          <w:b/>
        </w:rPr>
        <w:t>s</w:t>
      </w:r>
      <w:r w:rsidR="003F43E6">
        <w:rPr>
          <w:b/>
        </w:rPr>
        <w:t xml:space="preserve"> crédits aux entreprises. </w:t>
      </w:r>
    </w:p>
    <w:p w14:paraId="4CB9FC76" w14:textId="38684856" w:rsidR="003F43E6" w:rsidRDefault="003F43E6" w:rsidP="00811ED2">
      <w:pPr>
        <w:spacing w:after="20"/>
        <w:ind w:right="17"/>
        <w:rPr>
          <w:b/>
        </w:rPr>
      </w:pPr>
    </w:p>
    <w:p w14:paraId="22295428" w14:textId="6FC8B681" w:rsidR="003F43E6" w:rsidRDefault="003F43E6" w:rsidP="00811ED2">
      <w:pPr>
        <w:spacing w:after="20"/>
        <w:ind w:right="17"/>
        <w:rPr>
          <w:b/>
        </w:rPr>
      </w:pPr>
      <w:r>
        <w:rPr>
          <w:b/>
        </w:rPr>
        <w:t xml:space="preserve">Le </w:t>
      </w:r>
      <w:r w:rsidR="00491DE3">
        <w:rPr>
          <w:b/>
        </w:rPr>
        <w:t>taux moyen</w:t>
      </w:r>
      <w:r>
        <w:rPr>
          <w:b/>
        </w:rPr>
        <w:t xml:space="preserve"> des découverts utilisés (catégorie qui comprend aussi sur les ouvertures de crédits permanents) progresse également au 3</w:t>
      </w:r>
      <w:r w:rsidRPr="003F43E6">
        <w:rPr>
          <w:b/>
          <w:vertAlign w:val="superscript"/>
        </w:rPr>
        <w:t>ème</w:t>
      </w:r>
      <w:r>
        <w:rPr>
          <w:b/>
        </w:rPr>
        <w:t xml:space="preserve"> trimestre 2022 à 2,89% après 2,51% au trimestre précédent. </w:t>
      </w:r>
    </w:p>
    <w:p w14:paraId="1489E182" w14:textId="51D4B966" w:rsidR="00824DD0" w:rsidRDefault="003F43E6" w:rsidP="00811ED2">
      <w:pPr>
        <w:spacing w:after="20"/>
        <w:ind w:right="17"/>
        <w:rPr>
          <w:b/>
        </w:rPr>
      </w:pPr>
      <w:r>
        <w:rPr>
          <w:b/>
        </w:rPr>
        <w:t>Le</w:t>
      </w:r>
      <w:r w:rsidR="00186122">
        <w:rPr>
          <w:b/>
        </w:rPr>
        <w:t xml:space="preserve"> taux moyen des crédits de trésorerie échéancée est aussi en hausse, mais plus</w:t>
      </w:r>
      <w:r w:rsidR="003C0ED2">
        <w:rPr>
          <w:b/>
        </w:rPr>
        <w:t xml:space="preserve"> modérée (1,56% après 1,42%</w:t>
      </w:r>
      <w:r w:rsidR="003C5B74">
        <w:rPr>
          <w:b/>
        </w:rPr>
        <w:t xml:space="preserve"> au second trimestre</w:t>
      </w:r>
      <w:r w:rsidR="003C0ED2">
        <w:rPr>
          <w:b/>
        </w:rPr>
        <w:t>).</w:t>
      </w:r>
      <w:r w:rsidR="00824DD0">
        <w:rPr>
          <w:b/>
        </w:rPr>
        <w:t xml:space="preserve">  </w:t>
      </w:r>
    </w:p>
    <w:p w14:paraId="0CB3A3C5" w14:textId="77777777" w:rsidR="003D7FC3" w:rsidRPr="00D903CD" w:rsidRDefault="0091474F" w:rsidP="003D7FC3">
      <w:pPr>
        <w:ind w:right="16"/>
        <w:jc w:val="center"/>
        <w:rPr>
          <w:i/>
        </w:rPr>
      </w:pPr>
      <w:r w:rsidRPr="00D903CD">
        <w:rPr>
          <w:i/>
        </w:rPr>
        <w:t>Demande de crédit</w:t>
      </w:r>
      <w:r w:rsidR="00BD78DB" w:rsidRPr="00D903CD">
        <w:rPr>
          <w:i/>
        </w:rPr>
        <w:t xml:space="preserve"> </w:t>
      </w:r>
      <w:r w:rsidR="003D7FC3" w:rsidRPr="00D903CD">
        <w:rPr>
          <w:i/>
        </w:rPr>
        <w:t xml:space="preserve">de trésorerie </w:t>
      </w:r>
    </w:p>
    <w:p w14:paraId="629E84CC" w14:textId="4CB8A7D3" w:rsidR="000C018A" w:rsidRPr="00D903CD" w:rsidRDefault="00331240" w:rsidP="00037F1D">
      <w:pPr>
        <w:spacing w:after="0"/>
        <w:ind w:right="-449"/>
        <w:jc w:val="both"/>
      </w:pPr>
      <w:r w:rsidRPr="00331240">
        <w:t>L</w:t>
      </w:r>
      <w:r w:rsidR="003D7FC3" w:rsidRPr="00D903CD">
        <w:t xml:space="preserve">a demande de </w:t>
      </w:r>
      <w:r w:rsidR="00E729C3" w:rsidRPr="00D903CD">
        <w:t>nouveaux crédit</w:t>
      </w:r>
      <w:r w:rsidR="00A7642C" w:rsidRPr="00D903CD">
        <w:t>s</w:t>
      </w:r>
      <w:r w:rsidR="00E729C3" w:rsidRPr="00D903CD">
        <w:t xml:space="preserve"> </w:t>
      </w:r>
      <w:r w:rsidR="00897399">
        <w:t xml:space="preserve">de trésorerie </w:t>
      </w:r>
      <w:r w:rsidR="00037F1D">
        <w:t xml:space="preserve">se stabilise à </w:t>
      </w:r>
      <w:r w:rsidR="0009099D">
        <w:t>un niveau bas</w:t>
      </w:r>
      <w:r w:rsidR="00EE053B">
        <w:t xml:space="preserve"> (</w:t>
      </w:r>
      <w:r w:rsidR="00D920B2">
        <w:t>5,</w:t>
      </w:r>
      <w:r w:rsidR="003C0ED2">
        <w:t>0</w:t>
      </w:r>
      <w:r w:rsidR="00EE053B">
        <w:t>%)</w:t>
      </w:r>
      <w:r w:rsidR="00570FDA">
        <w:t xml:space="preserve">, </w:t>
      </w:r>
      <w:r w:rsidR="00D920B2">
        <w:t xml:space="preserve">Rappel </w:t>
      </w:r>
      <w:r w:rsidR="00570FDA">
        <w:t>(</w:t>
      </w:r>
      <w:r w:rsidR="00824DD0">
        <w:t>5,</w:t>
      </w:r>
      <w:r w:rsidR="003C0ED2">
        <w:t>4</w:t>
      </w:r>
      <w:r w:rsidR="00D920B2">
        <w:t xml:space="preserve">%) au trimestre précédent. </w:t>
      </w:r>
      <w:r w:rsidR="000C018A" w:rsidRPr="00D903CD">
        <w:t xml:space="preserve"> </w:t>
      </w:r>
    </w:p>
    <w:p w14:paraId="765963D7" w14:textId="569E72C3" w:rsidR="005F69C5" w:rsidRPr="00D903CD" w:rsidRDefault="00462D9F" w:rsidP="00520DAB">
      <w:pPr>
        <w:spacing w:after="0"/>
        <w:ind w:right="-449"/>
        <w:jc w:val="center"/>
      </w:pPr>
      <w:r>
        <w:rPr>
          <w:noProof/>
          <w:lang w:eastAsia="fr-FR"/>
        </w:rPr>
        <w:drawing>
          <wp:inline distT="0" distB="0" distL="0" distR="0" wp14:anchorId="17A59256" wp14:editId="45EBAB82">
            <wp:extent cx="5419725" cy="2200275"/>
            <wp:effectExtent l="0" t="0" r="9525" b="9525"/>
            <wp:docPr id="25" name="Graphique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71CC21" w14:textId="2E87A93B" w:rsidR="003D7FC3" w:rsidRPr="00D903CD" w:rsidRDefault="00D920B2" w:rsidP="006F6244">
      <w:pPr>
        <w:spacing w:after="0"/>
        <w:jc w:val="both"/>
        <w:rPr>
          <w:b/>
        </w:rPr>
      </w:pPr>
      <w:r>
        <w:t>P</w:t>
      </w:r>
      <w:r w:rsidR="003D7FC3" w:rsidRPr="00D903CD">
        <w:t xml:space="preserve">armi ces entreprises </w:t>
      </w:r>
      <w:r w:rsidR="00824DD0">
        <w:t>7</w:t>
      </w:r>
      <w:r w:rsidR="003C0ED2">
        <w:t>6</w:t>
      </w:r>
      <w:r w:rsidR="00C57873" w:rsidRPr="00D903CD">
        <w:t xml:space="preserve"> </w:t>
      </w:r>
      <w:r w:rsidR="003D7FC3" w:rsidRPr="00D903CD">
        <w:t xml:space="preserve">% ont obtenu un crédit de trésorerie à hauteur de </w:t>
      </w:r>
      <w:r w:rsidR="006005F6" w:rsidRPr="00D903CD">
        <w:t>75</w:t>
      </w:r>
      <w:r w:rsidR="003D7FC3" w:rsidRPr="00D903CD">
        <w:t>% au moins du montant sollicité</w:t>
      </w:r>
      <w:r w:rsidR="00E66CBA">
        <w:t xml:space="preserve">. </w:t>
      </w:r>
      <w:r w:rsidR="00CA67B5">
        <w:t>Ce taux est légèrement plus faible que le trimestre précédent</w:t>
      </w:r>
      <w:r w:rsidR="00B206BC">
        <w:t xml:space="preserve"> (</w:t>
      </w:r>
      <w:r w:rsidR="003C0ED2">
        <w:t>79</w:t>
      </w:r>
      <w:r w:rsidR="00B206BC">
        <w:t>%)</w:t>
      </w:r>
      <w:r w:rsidR="00CA67B5">
        <w:t xml:space="preserve">. </w:t>
      </w:r>
    </w:p>
    <w:p w14:paraId="24C222D4" w14:textId="77777777" w:rsidR="008B3559" w:rsidRDefault="008B3559" w:rsidP="003D7FC3">
      <w:pPr>
        <w:ind w:right="16"/>
        <w:jc w:val="center"/>
        <w:rPr>
          <w:i/>
        </w:rPr>
      </w:pPr>
    </w:p>
    <w:p w14:paraId="29FEFC35" w14:textId="725AE9A4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 xml:space="preserve">Raisons de l’absence de demande de crédit de trésorerie dans les TPE </w:t>
      </w:r>
    </w:p>
    <w:p w14:paraId="361E3441" w14:textId="5A44B812" w:rsidR="005F69C5" w:rsidRPr="00D903CD" w:rsidRDefault="00543F07" w:rsidP="0087535D">
      <w:pPr>
        <w:spacing w:after="0"/>
      </w:pPr>
      <w:r w:rsidRPr="00D903CD">
        <w:t>L</w:t>
      </w:r>
      <w:r w:rsidR="003D7FC3" w:rsidRPr="00D903CD">
        <w:t>a cause principale de l’absence de demande de crédit est l’absence de besoin (</w:t>
      </w:r>
      <w:r w:rsidR="003C0ED2">
        <w:t>49,3</w:t>
      </w:r>
      <w:r w:rsidR="003D7FC3" w:rsidRPr="00D903CD">
        <w:t>% vs</w:t>
      </w:r>
      <w:r w:rsidR="00E63B65" w:rsidRPr="00D903CD">
        <w:t xml:space="preserve"> </w:t>
      </w:r>
      <w:r w:rsidR="003C0ED2">
        <w:t>57,1</w:t>
      </w:r>
      <w:r w:rsidR="00B05523" w:rsidRPr="00D903CD">
        <w:t>%</w:t>
      </w:r>
      <w:r w:rsidR="003D7FC3" w:rsidRPr="00D903CD">
        <w:t>). L’autocensure</w:t>
      </w:r>
      <w:r w:rsidR="00A56085" w:rsidRPr="00D903CD">
        <w:t xml:space="preserve"> </w:t>
      </w:r>
      <w:r w:rsidR="00330070" w:rsidRPr="00D903CD">
        <w:t>(</w:t>
      </w:r>
      <w:r w:rsidR="003D7FC3" w:rsidRPr="00D903CD">
        <w:t>au sens de la</w:t>
      </w:r>
      <w:r w:rsidR="00330070" w:rsidRPr="00D903CD">
        <w:t xml:space="preserve"> crainte d’un refus du banquier)</w:t>
      </w:r>
      <w:r w:rsidR="00BD78DB" w:rsidRPr="00D903CD">
        <w:t xml:space="preserve"> </w:t>
      </w:r>
      <w:r w:rsidR="003D7FC3" w:rsidRPr="00D903CD">
        <w:t>est marginale</w:t>
      </w:r>
      <w:r w:rsidR="005F69C5" w:rsidRPr="00D903CD">
        <w:t xml:space="preserve"> </w:t>
      </w:r>
      <w:r w:rsidR="000C2A4D">
        <w:t>1,</w:t>
      </w:r>
      <w:r w:rsidR="003C0ED2">
        <w:t>4</w:t>
      </w:r>
      <w:r w:rsidR="003D7FC3" w:rsidRPr="00D903CD">
        <w:t>%.</w:t>
      </w:r>
    </w:p>
    <w:p w14:paraId="3FC76187" w14:textId="4749F285" w:rsidR="005F69C5" w:rsidRDefault="005F69C5" w:rsidP="0087535D">
      <w:pPr>
        <w:spacing w:after="0"/>
      </w:pPr>
    </w:p>
    <w:p w14:paraId="7AE9B154" w14:textId="4BF64CEE" w:rsidR="00627C84" w:rsidRPr="00D903CD" w:rsidRDefault="00462D9F" w:rsidP="00627C84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42F230A2" wp14:editId="60409F73">
            <wp:extent cx="6019800" cy="3190875"/>
            <wp:effectExtent l="0" t="0" r="0" b="9525"/>
            <wp:docPr id="27" name="Graphique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EF54F8F" w14:textId="25C31002" w:rsidR="003D7FC3" w:rsidRPr="00D903CD" w:rsidRDefault="00937821" w:rsidP="005F69C5">
      <w:pPr>
        <w:spacing w:after="0"/>
        <w:jc w:val="center"/>
        <w:rPr>
          <w:i/>
        </w:rPr>
      </w:pPr>
      <w:r w:rsidRPr="00D903CD">
        <w:br w:type="page"/>
      </w:r>
      <w:r w:rsidR="003D7FC3" w:rsidRPr="00D903CD">
        <w:rPr>
          <w:i/>
        </w:rPr>
        <w:lastRenderedPageBreak/>
        <w:t>Demande de crédit d’investissements</w:t>
      </w:r>
    </w:p>
    <w:p w14:paraId="03FA00C9" w14:textId="77777777" w:rsidR="00492C34" w:rsidRPr="00D903CD" w:rsidRDefault="00492C34" w:rsidP="00492C34">
      <w:pPr>
        <w:spacing w:after="0"/>
        <w:jc w:val="center"/>
        <w:rPr>
          <w:i/>
        </w:rPr>
      </w:pPr>
    </w:p>
    <w:p w14:paraId="28FCDEB6" w14:textId="7AAF6A1B" w:rsidR="00811ED2" w:rsidRDefault="00462D9F" w:rsidP="00FA4484">
      <w:pPr>
        <w:spacing w:after="0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3CF0526" wp14:editId="373B5818">
            <wp:simplePos x="826936" y="850790"/>
            <wp:positionH relativeFrom="column">
              <wp:posOffset>830911</wp:posOffset>
            </wp:positionH>
            <wp:positionV relativeFrom="paragraph">
              <wp:align>top</wp:align>
            </wp:positionV>
            <wp:extent cx="6086475" cy="2543175"/>
            <wp:effectExtent l="0" t="0" r="9525" b="9525"/>
            <wp:wrapSquare wrapText="bothSides"/>
            <wp:docPr id="28" name="Graphique 2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FA4484">
        <w:rPr>
          <w:noProof/>
          <w:lang w:eastAsia="fr-FR"/>
        </w:rPr>
        <w:br w:type="textWrapping" w:clear="all"/>
      </w:r>
    </w:p>
    <w:p w14:paraId="07F8AEBB" w14:textId="77777777" w:rsidR="009C1E26" w:rsidRPr="00D903CD" w:rsidRDefault="009C1E26" w:rsidP="00CD772C">
      <w:pPr>
        <w:spacing w:after="0"/>
        <w:jc w:val="center"/>
        <w:rPr>
          <w:noProof/>
          <w:lang w:eastAsia="fr-FR"/>
        </w:rPr>
      </w:pPr>
    </w:p>
    <w:p w14:paraId="6A5401C4" w14:textId="03902A0B" w:rsidR="002C4850" w:rsidRPr="00D903CD" w:rsidRDefault="000C018A" w:rsidP="002C4850">
      <w:pPr>
        <w:spacing w:after="0"/>
        <w:jc w:val="both"/>
      </w:pPr>
      <w:r w:rsidRPr="00D903CD">
        <w:rPr>
          <w:b/>
        </w:rPr>
        <w:t>Ce trimestre</w:t>
      </w:r>
      <w:r w:rsidR="00EE053B">
        <w:rPr>
          <w:b/>
        </w:rPr>
        <w:t>,</w:t>
      </w:r>
      <w:r w:rsidRPr="00D903CD">
        <w:rPr>
          <w:b/>
        </w:rPr>
        <w:t xml:space="preserve"> </w:t>
      </w:r>
      <w:r w:rsidR="002C4850" w:rsidRPr="00D903CD">
        <w:t xml:space="preserve">la demande de nouveaux crédits d’investissements </w:t>
      </w:r>
      <w:r w:rsidR="00754B3E">
        <w:t xml:space="preserve">est </w:t>
      </w:r>
      <w:r w:rsidR="009C1E26">
        <w:t xml:space="preserve">de </w:t>
      </w:r>
      <w:r w:rsidR="00C3221C">
        <w:t>(</w:t>
      </w:r>
      <w:r w:rsidR="007B0C4D">
        <w:t>6</w:t>
      </w:r>
      <w:r w:rsidR="000C2A4D">
        <w:t>,0</w:t>
      </w:r>
      <w:r w:rsidR="00E62A73" w:rsidRPr="00D903CD">
        <w:t xml:space="preserve">%) </w:t>
      </w:r>
      <w:r w:rsidR="00824DD0">
        <w:t xml:space="preserve">soit </w:t>
      </w:r>
      <w:r w:rsidR="008B3559">
        <w:t>1</w:t>
      </w:r>
      <w:r w:rsidR="00824DD0">
        <w:t xml:space="preserve"> point de </w:t>
      </w:r>
      <w:r w:rsidR="007B0C4D">
        <w:t>moins</w:t>
      </w:r>
      <w:r w:rsidR="00824DD0">
        <w:t xml:space="preserve"> qu’au </w:t>
      </w:r>
      <w:r w:rsidR="002C4850" w:rsidRPr="00D903CD">
        <w:t>trimestre précédent</w:t>
      </w:r>
      <w:r w:rsidR="00547F6B" w:rsidRPr="00D903CD">
        <w:t xml:space="preserve"> (</w:t>
      </w:r>
      <w:r w:rsidR="007B0C4D">
        <w:t>7</w:t>
      </w:r>
      <w:r w:rsidR="00D920B2">
        <w:t>,0</w:t>
      </w:r>
      <w:r w:rsidR="00733EA7" w:rsidRPr="00D903CD">
        <w:t>%)</w:t>
      </w:r>
      <w:r w:rsidR="000C2A4D">
        <w:t>.</w:t>
      </w:r>
      <w:r w:rsidR="00D920B2">
        <w:t xml:space="preserve"> </w:t>
      </w:r>
    </w:p>
    <w:p w14:paraId="33D4A122" w14:textId="77777777" w:rsidR="002C4850" w:rsidRPr="00D903CD" w:rsidRDefault="002C4850" w:rsidP="006F6244">
      <w:pPr>
        <w:spacing w:after="0"/>
        <w:ind w:right="17"/>
        <w:jc w:val="both"/>
        <w:rPr>
          <w:b/>
        </w:rPr>
      </w:pPr>
    </w:p>
    <w:p w14:paraId="7F366286" w14:textId="7CC40FC5" w:rsidR="003D7FC3" w:rsidRPr="00D903CD" w:rsidRDefault="003D7FC3" w:rsidP="006F6244">
      <w:pPr>
        <w:spacing w:after="0"/>
        <w:jc w:val="both"/>
      </w:pPr>
      <w:r w:rsidRPr="00D903CD">
        <w:t xml:space="preserve">Parmi ces entreprises </w:t>
      </w:r>
      <w:r w:rsidR="00D76FE2" w:rsidRPr="00D903CD">
        <w:t xml:space="preserve">encore </w:t>
      </w:r>
      <w:r w:rsidR="007B0C4D">
        <w:t>90</w:t>
      </w:r>
      <w:r w:rsidRPr="00D903CD">
        <w:t>% ont obtenu un crédit d’investissement</w:t>
      </w:r>
      <w:r w:rsidR="004726B0" w:rsidRPr="00D903CD">
        <w:t>s</w:t>
      </w:r>
      <w:r w:rsidR="00BD78DB" w:rsidRPr="00D903CD">
        <w:t xml:space="preserve"> </w:t>
      </w:r>
      <w:r w:rsidRPr="00D903CD">
        <w:t xml:space="preserve">à hauteur de </w:t>
      </w:r>
      <w:r w:rsidR="007C7741" w:rsidRPr="00D903CD">
        <w:t>75</w:t>
      </w:r>
      <w:r w:rsidRPr="00D903CD">
        <w:t xml:space="preserve">% au moins du montant sollicité. </w:t>
      </w:r>
      <w:r w:rsidR="00B206BC">
        <w:t xml:space="preserve">(Contre </w:t>
      </w:r>
      <w:r w:rsidR="007B0C4D">
        <w:t>85</w:t>
      </w:r>
      <w:r w:rsidR="00B206BC">
        <w:t>% au trimestre précédent</w:t>
      </w:r>
      <w:r w:rsidR="007B0C4D">
        <w:t>)</w:t>
      </w:r>
      <w:r w:rsidR="00B206BC">
        <w:t xml:space="preserve">. </w:t>
      </w:r>
    </w:p>
    <w:p w14:paraId="646EB254" w14:textId="369F3F5D" w:rsidR="003D7FC3" w:rsidRPr="00D903CD" w:rsidRDefault="00324422" w:rsidP="006F6244">
      <w:pPr>
        <w:spacing w:after="0"/>
        <w:jc w:val="both"/>
      </w:pPr>
      <w:r w:rsidRPr="00D903CD">
        <w:t>S’agissant plus particulièrement d</w:t>
      </w:r>
      <w:r w:rsidR="007F4618" w:rsidRPr="00D903CD">
        <w:t>es crédits</w:t>
      </w:r>
      <w:r w:rsidR="00330070" w:rsidRPr="00D903CD">
        <w:t xml:space="preserve"> d’équipement</w:t>
      </w:r>
      <w:r w:rsidR="007E5D5C" w:rsidRPr="00D903CD">
        <w:t>,</w:t>
      </w:r>
      <w:r w:rsidR="00BD78DB" w:rsidRPr="00D903CD">
        <w:t xml:space="preserve"> </w:t>
      </w:r>
      <w:r w:rsidR="007B0C4D">
        <w:t>le taux d’obtention baisse</w:t>
      </w:r>
      <w:r w:rsidR="00570FDA">
        <w:t xml:space="preserve"> légèrement 9</w:t>
      </w:r>
      <w:r w:rsidR="007B0C4D">
        <w:t>1</w:t>
      </w:r>
      <w:r w:rsidR="001A1631">
        <w:t>%</w:t>
      </w:r>
      <w:r w:rsidR="007E5D5C" w:rsidRPr="00D903CD">
        <w:t xml:space="preserve"> des entreprises interrogées indiquent obtenir satisfaction en totalité ou en grande partie.</w:t>
      </w:r>
    </w:p>
    <w:p w14:paraId="05BC1FE7" w14:textId="77777777" w:rsidR="007F4618" w:rsidRPr="00D903CD" w:rsidRDefault="007F4618" w:rsidP="007F4618">
      <w:pPr>
        <w:spacing w:after="0"/>
      </w:pPr>
    </w:p>
    <w:p w14:paraId="1D209D2A" w14:textId="77777777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>Raisons de l’absence de demande de crédit d’investissements</w:t>
      </w:r>
      <w:r w:rsidR="00BD78DB" w:rsidRPr="00D903CD">
        <w:rPr>
          <w:i/>
        </w:rPr>
        <w:t xml:space="preserve"> </w:t>
      </w:r>
      <w:r w:rsidRPr="00D903CD">
        <w:rPr>
          <w:i/>
        </w:rPr>
        <w:t xml:space="preserve">dans les TPE </w:t>
      </w:r>
    </w:p>
    <w:p w14:paraId="073A093C" w14:textId="4D4AD995" w:rsidR="003D7FC3" w:rsidRPr="00D903CD" w:rsidRDefault="00462D9F" w:rsidP="003D7FC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4B8A0EF5" wp14:editId="0A6CA114">
            <wp:extent cx="6524625" cy="3095625"/>
            <wp:effectExtent l="0" t="0" r="9525" b="9525"/>
            <wp:docPr id="31" name="Graphique 3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8810662" w14:textId="136DD5B1" w:rsidR="003D7FC3" w:rsidRPr="00D903CD" w:rsidRDefault="003D7FC3" w:rsidP="006F6244">
      <w:pPr>
        <w:jc w:val="both"/>
      </w:pPr>
      <w:r w:rsidRPr="00D903CD">
        <w:t>Comme pour le crédit de trésorerie, la cause principale de l’absence de demande de crédit d’investissements est l’absence de besoin (</w:t>
      </w:r>
      <w:r w:rsidR="007B0C4D">
        <w:t>49,8</w:t>
      </w:r>
      <w:r w:rsidR="00D63470">
        <w:t>7</w:t>
      </w:r>
      <w:r w:rsidRPr="00D903CD">
        <w:t>%). L’autocensure</w:t>
      </w:r>
      <w:r w:rsidR="00601534" w:rsidRPr="00D903CD">
        <w:t xml:space="preserve"> (</w:t>
      </w:r>
      <w:r w:rsidRPr="00D903CD">
        <w:t>au sens de la crainte d’un refus du banquier</w:t>
      </w:r>
      <w:r w:rsidR="007C7741" w:rsidRPr="00D903CD">
        <w:t>)</w:t>
      </w:r>
      <w:r w:rsidR="00BD78DB" w:rsidRPr="00D903CD">
        <w:t xml:space="preserve"> </w:t>
      </w:r>
      <w:r w:rsidRPr="00D903CD">
        <w:t xml:space="preserve">est marginale </w:t>
      </w:r>
      <w:r w:rsidR="000C2A4D">
        <w:t>1,</w:t>
      </w:r>
      <w:r w:rsidR="007B0C4D">
        <w:t>25</w:t>
      </w:r>
      <w:r w:rsidRPr="00D903CD">
        <w:t>%.</w:t>
      </w:r>
    </w:p>
    <w:p w14:paraId="68DEB14B" w14:textId="61715C3B" w:rsidR="00EE053B" w:rsidRDefault="00EE053B" w:rsidP="00EE053B">
      <w:pPr>
        <w:spacing w:after="0"/>
        <w:ind w:right="17"/>
      </w:pPr>
      <w:r w:rsidRPr="00E10FB4">
        <w:rPr>
          <w:b/>
        </w:rPr>
        <w:t>L’auto censure</w:t>
      </w:r>
      <w:r>
        <w:t> :</w:t>
      </w:r>
      <w:r w:rsidR="00E10FB4">
        <w:t xml:space="preserve"> </w:t>
      </w:r>
      <w:r>
        <w:t>Un comportement d’autocensure désigne une situation où une entreprise ne sollicite pas de nouveau crédit bancaire car elle anticipe un ref</w:t>
      </w:r>
      <w:r w:rsidR="004C38CD">
        <w:t>u</w:t>
      </w:r>
      <w:r>
        <w:t>s des banques.</w:t>
      </w:r>
    </w:p>
    <w:p w14:paraId="42448654" w14:textId="7733A5D5" w:rsidR="00EE053B" w:rsidRPr="00EE053B" w:rsidRDefault="00EE053B" w:rsidP="00EE053B">
      <w:pPr>
        <w:spacing w:after="0"/>
        <w:ind w:right="17"/>
      </w:pPr>
    </w:p>
    <w:p w14:paraId="59E21690" w14:textId="77777777" w:rsidR="00D855C8" w:rsidRDefault="00D855C8" w:rsidP="003D7FC3">
      <w:pPr>
        <w:ind w:right="16"/>
        <w:jc w:val="center"/>
        <w:rPr>
          <w:i/>
        </w:rPr>
      </w:pPr>
    </w:p>
    <w:p w14:paraId="5188682E" w14:textId="77777777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 xml:space="preserve">Demande de nouvelles exigences en matière de garantie </w:t>
      </w:r>
    </w:p>
    <w:p w14:paraId="79118CB1" w14:textId="75E8A640" w:rsidR="003D7FC3" w:rsidRPr="00D903CD" w:rsidRDefault="00462D9F" w:rsidP="003D7FC3">
      <w:pPr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793ECB4D" wp14:editId="041437B9">
            <wp:extent cx="6210300" cy="3067050"/>
            <wp:effectExtent l="0" t="0" r="0" b="0"/>
            <wp:docPr id="33" name="Graphique 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4F564A" w14:textId="77AB9DC5" w:rsidR="003D7FC3" w:rsidRDefault="00F3493F" w:rsidP="006F6244">
      <w:pPr>
        <w:ind w:right="16"/>
        <w:jc w:val="both"/>
      </w:pPr>
      <w:r w:rsidRPr="00D903CD">
        <w:t xml:space="preserve">Pour ce trimestre </w:t>
      </w:r>
      <w:r w:rsidR="008B3559">
        <w:t>20,2</w:t>
      </w:r>
      <w:r w:rsidR="007C7741" w:rsidRPr="00D903CD">
        <w:t>%</w:t>
      </w:r>
      <w:r w:rsidR="003D7FC3" w:rsidRPr="00D903CD">
        <w:t xml:space="preserve"> des TPE interrogées déclarent avoir été confrontées à de nouvelles</w:t>
      </w:r>
      <w:r w:rsidR="00BD78DB" w:rsidRPr="00D903CD">
        <w:t xml:space="preserve"> </w:t>
      </w:r>
      <w:r w:rsidR="003D7FC3" w:rsidRPr="00D903CD">
        <w:t>exigences de leur</w:t>
      </w:r>
      <w:r w:rsidR="00FE57EF">
        <w:t xml:space="preserve"> banque en matière de garanties (taux identique </w:t>
      </w:r>
      <w:r w:rsidR="006F6244" w:rsidRPr="00D903CD">
        <w:t>au trimestre précédent).</w:t>
      </w:r>
    </w:p>
    <w:p w14:paraId="754BB4FA" w14:textId="29237722" w:rsidR="003D7FC3" w:rsidRPr="00D903CD" w:rsidRDefault="003D7FC3" w:rsidP="003D7FC3">
      <w:pPr>
        <w:spacing w:after="0"/>
        <w:ind w:right="17"/>
        <w:jc w:val="center"/>
        <w:rPr>
          <w:i/>
        </w:rPr>
      </w:pPr>
      <w:r w:rsidRPr="00D903CD">
        <w:rPr>
          <w:i/>
        </w:rPr>
        <w:t>Comparatif Résultats enquête</w:t>
      </w:r>
      <w:r w:rsidR="00844D15" w:rsidRPr="00D903CD">
        <w:rPr>
          <w:i/>
        </w:rPr>
        <w:t xml:space="preserve"> </w:t>
      </w:r>
      <w:r w:rsidR="00462D9F">
        <w:rPr>
          <w:i/>
        </w:rPr>
        <w:t>3</w:t>
      </w:r>
      <w:r w:rsidR="00D855C8">
        <w:rPr>
          <w:i/>
        </w:rPr>
        <w:t>T2022-</w:t>
      </w:r>
      <w:r w:rsidR="00462D9F">
        <w:rPr>
          <w:i/>
        </w:rPr>
        <w:t>3</w:t>
      </w:r>
      <w:r w:rsidR="00D855C8">
        <w:rPr>
          <w:i/>
        </w:rPr>
        <w:t>T2021</w:t>
      </w:r>
    </w:p>
    <w:p w14:paraId="746ADF11" w14:textId="77777777" w:rsidR="003D7FC3" w:rsidRPr="00D903CD" w:rsidRDefault="003D7FC3" w:rsidP="003D7FC3">
      <w:pPr>
        <w:spacing w:after="0"/>
        <w:ind w:right="17"/>
        <w:jc w:val="center"/>
        <w:rPr>
          <w:i/>
        </w:rPr>
      </w:pPr>
      <w:r w:rsidRPr="00D903CD">
        <w:rPr>
          <w:i/>
        </w:rPr>
        <w:t>Enquête liée à l’accès au crédit de trésorerie et d’investissement</w:t>
      </w:r>
    </w:p>
    <w:p w14:paraId="42FC7FF1" w14:textId="77777777" w:rsidR="003D7FC3" w:rsidRPr="00D903CD" w:rsidRDefault="003D7FC3" w:rsidP="003D7FC3">
      <w:pPr>
        <w:spacing w:after="0"/>
        <w:ind w:right="17"/>
        <w:jc w:val="center"/>
        <w:rPr>
          <w:noProof/>
          <w:lang w:eastAsia="fr-FR"/>
        </w:rPr>
      </w:pPr>
    </w:p>
    <w:p w14:paraId="6BC528A0" w14:textId="2B0C89F2" w:rsidR="00351777" w:rsidRPr="00D903CD" w:rsidRDefault="00462D9F" w:rsidP="003D7FC3">
      <w:pPr>
        <w:spacing w:after="0"/>
        <w:ind w:right="17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1B14E12F" wp14:editId="131C07C2">
            <wp:extent cx="6192000" cy="3914775"/>
            <wp:effectExtent l="0" t="0" r="18415" b="9525"/>
            <wp:docPr id="34" name="Graphique 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3315277" w14:textId="020E71F2" w:rsidR="004426C4" w:rsidRDefault="00B05523" w:rsidP="00B206BC">
      <w:pPr>
        <w:ind w:right="118"/>
        <w:jc w:val="both"/>
      </w:pPr>
      <w:r w:rsidRPr="00D903CD">
        <w:t xml:space="preserve">Au </w:t>
      </w:r>
      <w:r w:rsidR="00FE57EF">
        <w:t>3</w:t>
      </w:r>
      <w:r w:rsidR="00FE57EF" w:rsidRPr="00FE57EF">
        <w:rPr>
          <w:vertAlign w:val="superscript"/>
        </w:rPr>
        <w:t>ème</w:t>
      </w:r>
      <w:r w:rsidR="00FE57EF">
        <w:t xml:space="preserve"> </w:t>
      </w:r>
      <w:r w:rsidR="003B5C7B" w:rsidRPr="00D903CD">
        <w:t>trimestre</w:t>
      </w:r>
      <w:r w:rsidR="00E62A73" w:rsidRPr="00D903CD">
        <w:t xml:space="preserve"> 202</w:t>
      </w:r>
      <w:r w:rsidR="00570FDA">
        <w:t>2</w:t>
      </w:r>
      <w:r w:rsidR="005B3F18" w:rsidRPr="00D903CD">
        <w:t xml:space="preserve"> par rapport au </w:t>
      </w:r>
      <w:r w:rsidR="00FE57EF">
        <w:t>3</w:t>
      </w:r>
      <w:r w:rsidR="00FE57EF" w:rsidRPr="00FE57EF">
        <w:rPr>
          <w:vertAlign w:val="superscript"/>
        </w:rPr>
        <w:t>ème</w:t>
      </w:r>
      <w:r w:rsidR="008B3559">
        <w:t xml:space="preserve"> t</w:t>
      </w:r>
      <w:r w:rsidR="00E62A73" w:rsidRPr="00D903CD">
        <w:t>rimestre 20</w:t>
      </w:r>
      <w:r w:rsidR="00A06F04">
        <w:t>2</w:t>
      </w:r>
      <w:r w:rsidR="00570FDA">
        <w:t>1</w:t>
      </w:r>
      <w:r w:rsidR="005B3F18" w:rsidRPr="00D903CD">
        <w:t>,</w:t>
      </w:r>
      <w:r w:rsidR="003D7FC3" w:rsidRPr="00D903CD">
        <w:t xml:space="preserve"> la demande des TPE</w:t>
      </w:r>
      <w:r w:rsidR="00BD78DB" w:rsidRPr="00D903CD">
        <w:t xml:space="preserve"> </w:t>
      </w:r>
      <w:r w:rsidR="00FE57EF">
        <w:t>augmente d’un point</w:t>
      </w:r>
      <w:r w:rsidR="008B3559">
        <w:t xml:space="preserve"> </w:t>
      </w:r>
      <w:r w:rsidR="003D7FC3" w:rsidRPr="00D903CD">
        <w:t>pour</w:t>
      </w:r>
      <w:r w:rsidR="00BD78DB" w:rsidRPr="00D903CD">
        <w:t xml:space="preserve"> </w:t>
      </w:r>
      <w:r w:rsidR="003D7FC3" w:rsidRPr="00D903CD">
        <w:t>les crédits de trésorerie</w:t>
      </w:r>
      <w:r w:rsidR="00BD78DB" w:rsidRPr="00D903CD">
        <w:t xml:space="preserve"> </w:t>
      </w:r>
      <w:r w:rsidR="00FE57EF">
        <w:t>5</w:t>
      </w:r>
      <w:r w:rsidRPr="00D903CD">
        <w:t>%</w:t>
      </w:r>
      <w:r w:rsidR="006F6244" w:rsidRPr="00D903CD">
        <w:t xml:space="preserve"> </w:t>
      </w:r>
      <w:r w:rsidRPr="00D903CD">
        <w:t xml:space="preserve">vs </w:t>
      </w:r>
      <w:r w:rsidR="00FE57EF">
        <w:t>4</w:t>
      </w:r>
      <w:r w:rsidR="00570FDA">
        <w:t>%</w:t>
      </w:r>
      <w:r w:rsidRPr="00D903CD">
        <w:t>,</w:t>
      </w:r>
      <w:r w:rsidR="00243095" w:rsidRPr="00D903CD">
        <w:t xml:space="preserve"> la demande concernant </w:t>
      </w:r>
      <w:r w:rsidR="00F3493F" w:rsidRPr="00D903CD">
        <w:t xml:space="preserve">les </w:t>
      </w:r>
      <w:r w:rsidR="003D7FC3" w:rsidRPr="00D903CD">
        <w:t>crédits d’investissements</w:t>
      </w:r>
      <w:r w:rsidR="00F3493F" w:rsidRPr="00D903CD">
        <w:t xml:space="preserve"> </w:t>
      </w:r>
      <w:r w:rsidR="00D63470">
        <w:t xml:space="preserve">diminue d’un point </w:t>
      </w:r>
      <w:r w:rsidR="008B3559">
        <w:t>6</w:t>
      </w:r>
      <w:r w:rsidR="00570FDA">
        <w:t>,</w:t>
      </w:r>
      <w:r w:rsidR="00FE57EF">
        <w:t>0</w:t>
      </w:r>
      <w:r w:rsidRPr="00D903CD">
        <w:t>%</w:t>
      </w:r>
      <w:r w:rsidR="00D63470">
        <w:t xml:space="preserve"> vs 7,7%</w:t>
      </w:r>
      <w:r w:rsidR="00D32E61" w:rsidRPr="00D903CD">
        <w:t>. L</w:t>
      </w:r>
      <w:r w:rsidRPr="00D903CD">
        <w:t>a demande de nouvelles exigences</w:t>
      </w:r>
      <w:r w:rsidR="00A7642C" w:rsidRPr="00D903CD">
        <w:t xml:space="preserve"> </w:t>
      </w:r>
      <w:r w:rsidR="00E01954">
        <w:t xml:space="preserve">augmente </w:t>
      </w:r>
      <w:r w:rsidR="00570FDA">
        <w:t>(</w:t>
      </w:r>
      <w:r w:rsidR="00E01954">
        <w:t>20,2</w:t>
      </w:r>
      <w:r w:rsidR="0087535D" w:rsidRPr="00D903CD">
        <w:t>%</w:t>
      </w:r>
      <w:r w:rsidR="005B3F18" w:rsidRPr="00D903CD">
        <w:t xml:space="preserve"> </w:t>
      </w:r>
      <w:r w:rsidR="00243095" w:rsidRPr="00D903CD">
        <w:t>en 20</w:t>
      </w:r>
      <w:r w:rsidR="00E62A73" w:rsidRPr="00D903CD">
        <w:t>2</w:t>
      </w:r>
      <w:r w:rsidR="00570FDA">
        <w:t>2</w:t>
      </w:r>
      <w:r w:rsidR="00AF5C53" w:rsidRPr="00D903CD">
        <w:t xml:space="preserve"> </w:t>
      </w:r>
      <w:r w:rsidR="005B3F18" w:rsidRPr="00D903CD">
        <w:t xml:space="preserve">contre </w:t>
      </w:r>
      <w:r w:rsidR="00E01954">
        <w:t>16</w:t>
      </w:r>
      <w:r w:rsidR="00FE57EF">
        <w:t>,</w:t>
      </w:r>
      <w:r w:rsidR="00E01954">
        <w:t>5</w:t>
      </w:r>
      <w:r w:rsidR="00B206BC">
        <w:t>%</w:t>
      </w:r>
      <w:r w:rsidR="008B3559">
        <w:t xml:space="preserve"> </w:t>
      </w:r>
      <w:r w:rsidR="00D32E61" w:rsidRPr="00D903CD">
        <w:t xml:space="preserve">en </w:t>
      </w:r>
      <w:r w:rsidR="00243095" w:rsidRPr="00D903CD">
        <w:t>20</w:t>
      </w:r>
      <w:r w:rsidR="00A06F04">
        <w:t>2</w:t>
      </w:r>
      <w:r w:rsidR="00570FDA">
        <w:t>1</w:t>
      </w:r>
      <w:r w:rsidR="00FE57EF">
        <w:t>)</w:t>
      </w:r>
      <w:r w:rsidR="00570FDA">
        <w:t>.</w:t>
      </w:r>
      <w:r w:rsidR="0069610D">
        <w:t xml:space="preserve"> </w:t>
      </w:r>
    </w:p>
    <w:p w14:paraId="3B95FD64" w14:textId="77777777" w:rsidR="00AC7017" w:rsidRPr="00AC7017" w:rsidRDefault="00AC7017" w:rsidP="00A102EA">
      <w:pPr>
        <w:spacing w:before="40" w:after="40"/>
        <w:ind w:right="17"/>
        <w:jc w:val="center"/>
        <w:rPr>
          <w:b/>
          <w:color w:val="FF0066"/>
          <w:sz w:val="40"/>
          <w:szCs w:val="40"/>
        </w:rPr>
      </w:pPr>
      <w:r w:rsidRPr="00AC7017">
        <w:rPr>
          <w:b/>
          <w:color w:val="FF0066"/>
          <w:sz w:val="40"/>
          <w:szCs w:val="40"/>
        </w:rPr>
        <w:lastRenderedPageBreak/>
        <w:t>Partie Thématique </w:t>
      </w:r>
    </w:p>
    <w:p w14:paraId="0426BB80" w14:textId="1A376A1E" w:rsidR="00AC7017" w:rsidRPr="00AC7017" w:rsidRDefault="00AC7017" w:rsidP="00A102EA">
      <w:pPr>
        <w:spacing w:before="40" w:after="40"/>
        <w:ind w:right="17"/>
        <w:jc w:val="center"/>
        <w:rPr>
          <w:b/>
          <w:color w:val="FF0066"/>
          <w:sz w:val="40"/>
          <w:szCs w:val="40"/>
        </w:rPr>
      </w:pPr>
      <w:r w:rsidRPr="00AC7017">
        <w:rPr>
          <w:b/>
          <w:color w:val="FF0066"/>
          <w:sz w:val="40"/>
          <w:szCs w:val="40"/>
        </w:rPr>
        <w:t xml:space="preserve"> Les TPE </w:t>
      </w:r>
      <w:r w:rsidR="009242E9">
        <w:rPr>
          <w:b/>
          <w:color w:val="FF0066"/>
          <w:sz w:val="40"/>
          <w:szCs w:val="40"/>
        </w:rPr>
        <w:t xml:space="preserve">après 2ans de </w:t>
      </w:r>
      <w:r w:rsidRPr="00AC7017">
        <w:rPr>
          <w:b/>
          <w:color w:val="FF0066"/>
          <w:sz w:val="40"/>
          <w:szCs w:val="40"/>
        </w:rPr>
        <w:t xml:space="preserve">COVID </w:t>
      </w:r>
    </w:p>
    <w:p w14:paraId="3CE04A60" w14:textId="6DDA48CF" w:rsidR="00AC7017" w:rsidRDefault="00AC7017" w:rsidP="009242E9">
      <w:pPr>
        <w:spacing w:after="0" w:line="240" w:lineRule="auto"/>
        <w:ind w:right="17"/>
        <w:rPr>
          <w:color w:val="333333"/>
          <w:shd w:val="clear" w:color="auto" w:fill="FFFFFF"/>
        </w:rPr>
      </w:pPr>
      <w:r w:rsidRPr="00AC7017">
        <w:rPr>
          <w:b/>
          <w:color w:val="333333"/>
          <w:shd w:val="clear" w:color="auto" w:fill="FFFFFF"/>
        </w:rPr>
        <w:t>Rappel </w:t>
      </w:r>
      <w:r w:rsidRPr="00AC7017">
        <w:rPr>
          <w:color w:val="333333"/>
          <w:shd w:val="clear" w:color="auto" w:fill="FFFFFF"/>
        </w:rPr>
        <w:t xml:space="preserve">: </w:t>
      </w:r>
    </w:p>
    <w:p w14:paraId="3B7C24AB" w14:textId="77777777" w:rsidR="00990232" w:rsidRDefault="00990232" w:rsidP="009902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  <w:r w:rsidRPr="00990232">
        <w:rPr>
          <w:rFonts w:asciiTheme="minorHAnsi" w:hAnsiTheme="minorHAnsi" w:cs="Helvetica"/>
          <w:lang w:eastAsia="fr-FR"/>
        </w:rPr>
        <w:t>Après deux ans de crise Covid-19, et au tout début de la guerre en Ukrain</w:t>
      </w:r>
      <w:r>
        <w:rPr>
          <w:rFonts w:asciiTheme="minorHAnsi" w:hAnsiTheme="minorHAnsi" w:cs="Helvetica"/>
          <w:lang w:eastAsia="fr-FR"/>
        </w:rPr>
        <w:t xml:space="preserve">e, cette enquête a pour objectif de mesurer  </w:t>
      </w:r>
      <w:r w:rsidRPr="00990232">
        <w:rPr>
          <w:rFonts w:asciiTheme="minorHAnsi" w:hAnsiTheme="minorHAnsi" w:cs="Helvetica"/>
          <w:lang w:eastAsia="fr-FR"/>
        </w:rPr>
        <w:t xml:space="preserve"> l’impact d</w:t>
      </w:r>
      <w:r>
        <w:rPr>
          <w:rFonts w:asciiTheme="minorHAnsi" w:hAnsiTheme="minorHAnsi" w:cs="Helvetica"/>
          <w:lang w:eastAsia="fr-FR"/>
        </w:rPr>
        <w:t xml:space="preserve">e la crise sanitaire sur l’activité des TPE. </w:t>
      </w:r>
    </w:p>
    <w:p w14:paraId="36D393CF" w14:textId="77777777" w:rsidR="00EB0D94" w:rsidRPr="009C6C38" w:rsidRDefault="00EB0D94" w:rsidP="009902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sz w:val="16"/>
          <w:szCs w:val="16"/>
          <w:lang w:eastAsia="fr-FR"/>
        </w:rPr>
      </w:pPr>
    </w:p>
    <w:p w14:paraId="5A27347B" w14:textId="1A214E58" w:rsidR="009C6C38" w:rsidRDefault="00032367" w:rsidP="009902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  <w:r>
        <w:rPr>
          <w:rFonts w:asciiTheme="minorHAnsi" w:hAnsiTheme="minorHAnsi" w:cs="Helvetica"/>
          <w:lang w:eastAsia="fr-FR"/>
        </w:rPr>
        <w:t>Etude d</w:t>
      </w:r>
      <w:r w:rsidR="00990232" w:rsidRPr="00990232">
        <w:rPr>
          <w:rFonts w:asciiTheme="minorHAnsi" w:hAnsiTheme="minorHAnsi" w:cs="Helvetica"/>
          <w:lang w:eastAsia="fr-FR"/>
        </w:rPr>
        <w:t>es mesures d’aides aux entreprises mises en place par</w:t>
      </w:r>
      <w:r w:rsidR="00990232">
        <w:rPr>
          <w:rFonts w:asciiTheme="minorHAnsi" w:hAnsiTheme="minorHAnsi" w:cs="Helvetica"/>
          <w:lang w:eastAsia="fr-FR"/>
        </w:rPr>
        <w:t xml:space="preserve"> </w:t>
      </w:r>
      <w:r w:rsidR="00990232" w:rsidRPr="00990232">
        <w:rPr>
          <w:rFonts w:asciiTheme="minorHAnsi" w:hAnsiTheme="minorHAnsi" w:cs="Helvetica"/>
          <w:lang w:eastAsia="fr-FR"/>
        </w:rPr>
        <w:t xml:space="preserve">l’Etat pour lutter contre les effets de la pandémie. </w:t>
      </w:r>
    </w:p>
    <w:p w14:paraId="2C2FFC76" w14:textId="6447E876" w:rsidR="00990232" w:rsidRPr="00990232" w:rsidRDefault="009C6C38" w:rsidP="009902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  <w:r>
        <w:rPr>
          <w:rFonts w:asciiTheme="minorHAnsi" w:hAnsiTheme="minorHAnsi" w:cs="Helvetica"/>
          <w:lang w:eastAsia="fr-FR"/>
        </w:rPr>
        <w:t>C</w:t>
      </w:r>
      <w:r w:rsidR="00990232" w:rsidRPr="00990232">
        <w:rPr>
          <w:rFonts w:asciiTheme="minorHAnsi" w:hAnsiTheme="minorHAnsi" w:cs="Helvetica"/>
          <w:lang w:eastAsia="fr-FR"/>
        </w:rPr>
        <w:t>es mesures</w:t>
      </w:r>
      <w:r w:rsidR="00EB0D94">
        <w:rPr>
          <w:rFonts w:asciiTheme="minorHAnsi" w:hAnsiTheme="minorHAnsi" w:cs="Helvetica"/>
          <w:lang w:eastAsia="fr-FR"/>
        </w:rPr>
        <w:t xml:space="preserve"> </w:t>
      </w:r>
      <w:r w:rsidR="00990232" w:rsidRPr="00990232">
        <w:rPr>
          <w:rFonts w:asciiTheme="minorHAnsi" w:hAnsiTheme="minorHAnsi" w:cs="Helvetica"/>
          <w:lang w:eastAsia="fr-FR"/>
        </w:rPr>
        <w:t>se sont déployées au cours de 5 phases principales. Durant ces périodes, des confinements plus ou moins</w:t>
      </w:r>
      <w:r w:rsidR="00EB0D94">
        <w:rPr>
          <w:rFonts w:asciiTheme="minorHAnsi" w:hAnsiTheme="minorHAnsi" w:cs="Helvetica"/>
          <w:lang w:eastAsia="fr-FR"/>
        </w:rPr>
        <w:t xml:space="preserve"> </w:t>
      </w:r>
      <w:r w:rsidR="00990232" w:rsidRPr="00990232">
        <w:rPr>
          <w:rFonts w:asciiTheme="minorHAnsi" w:hAnsiTheme="minorHAnsi" w:cs="Helvetica"/>
          <w:lang w:eastAsia="fr-FR"/>
        </w:rPr>
        <w:t>sévères, des mesures de protection sanitair</w:t>
      </w:r>
      <w:r w:rsidR="00474EF5">
        <w:rPr>
          <w:rFonts w:asciiTheme="minorHAnsi" w:hAnsiTheme="minorHAnsi" w:cs="Helvetica"/>
          <w:lang w:eastAsia="fr-FR"/>
        </w:rPr>
        <w:t>e</w:t>
      </w:r>
      <w:r w:rsidR="00990232" w:rsidRPr="00990232">
        <w:rPr>
          <w:rFonts w:asciiTheme="minorHAnsi" w:hAnsiTheme="minorHAnsi" w:cs="Helvetica"/>
          <w:lang w:eastAsia="fr-FR"/>
        </w:rPr>
        <w:t xml:space="preserve"> ont été appliqué</w:t>
      </w:r>
      <w:r w:rsidR="00474EF5">
        <w:rPr>
          <w:rFonts w:asciiTheme="minorHAnsi" w:hAnsiTheme="minorHAnsi" w:cs="Helvetica"/>
          <w:lang w:eastAsia="fr-FR"/>
        </w:rPr>
        <w:t>e</w:t>
      </w:r>
      <w:r w:rsidR="00990232" w:rsidRPr="00990232">
        <w:rPr>
          <w:rFonts w:asciiTheme="minorHAnsi" w:hAnsiTheme="minorHAnsi" w:cs="Helvetica"/>
          <w:lang w:eastAsia="fr-FR"/>
        </w:rPr>
        <w:t>s entrainant des conséquences économiques et</w:t>
      </w:r>
      <w:r w:rsidR="00EB0D94">
        <w:rPr>
          <w:rFonts w:asciiTheme="minorHAnsi" w:hAnsiTheme="minorHAnsi" w:cs="Helvetica"/>
          <w:lang w:eastAsia="fr-FR"/>
        </w:rPr>
        <w:t xml:space="preserve"> </w:t>
      </w:r>
      <w:r w:rsidR="00990232" w:rsidRPr="00990232">
        <w:rPr>
          <w:rFonts w:asciiTheme="minorHAnsi" w:hAnsiTheme="minorHAnsi" w:cs="Helvetica"/>
          <w:lang w:eastAsia="fr-FR"/>
        </w:rPr>
        <w:t>sociales sur la vie des entreprises.</w:t>
      </w:r>
      <w:r>
        <w:rPr>
          <w:rFonts w:asciiTheme="minorHAnsi" w:hAnsiTheme="minorHAnsi" w:cs="Helvetica"/>
          <w:lang w:eastAsia="fr-FR"/>
        </w:rPr>
        <w:t xml:space="preserve"> </w:t>
      </w:r>
    </w:p>
    <w:p w14:paraId="16FAF91C" w14:textId="77777777" w:rsidR="00EB0D94" w:rsidRDefault="00990232" w:rsidP="009902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  <w:r w:rsidRPr="00990232">
        <w:rPr>
          <w:rFonts w:asciiTheme="minorHAnsi" w:hAnsiTheme="minorHAnsi" w:cs="Helvetica"/>
          <w:lang w:eastAsia="fr-FR"/>
        </w:rPr>
        <w:t xml:space="preserve">Tout au long de ces différentes vagues, des mesures économiques de soutien ont été annoncées. </w:t>
      </w:r>
    </w:p>
    <w:p w14:paraId="15B17B2D" w14:textId="4D3FF1E5" w:rsidR="00AC7017" w:rsidRDefault="00AC7017" w:rsidP="009C6C38">
      <w:pPr>
        <w:spacing w:before="100" w:after="40"/>
        <w:ind w:right="119"/>
        <w:jc w:val="both"/>
        <w:rPr>
          <w:b/>
          <w:i/>
        </w:rPr>
      </w:pPr>
      <w:r w:rsidRPr="00AC7017">
        <w:rPr>
          <w:b/>
          <w:i/>
        </w:rPr>
        <w:t xml:space="preserve">5 - Quel a été à ce jour l’impact </w:t>
      </w:r>
      <w:r w:rsidR="009242E9">
        <w:rPr>
          <w:b/>
          <w:i/>
        </w:rPr>
        <w:t xml:space="preserve">de la crise sanitaire </w:t>
      </w:r>
      <w:r w:rsidRPr="00AC7017">
        <w:rPr>
          <w:b/>
          <w:i/>
        </w:rPr>
        <w:t xml:space="preserve">sur votre activité ? </w:t>
      </w:r>
    </w:p>
    <w:p w14:paraId="66F9FD63" w14:textId="1DFD572A" w:rsidR="00EB0D94" w:rsidRDefault="00EB0D94" w:rsidP="009C6C38">
      <w:pPr>
        <w:spacing w:before="40" w:after="40"/>
        <w:ind w:right="119"/>
        <w:jc w:val="both"/>
        <w:rPr>
          <w:i/>
        </w:rPr>
      </w:pPr>
      <w:r w:rsidRPr="009C6C38">
        <w:rPr>
          <w:i/>
        </w:rPr>
        <w:t xml:space="preserve">Il faut rappeler que </w:t>
      </w:r>
      <w:r w:rsidRPr="009C6C38">
        <w:rPr>
          <w:b/>
          <w:i/>
        </w:rPr>
        <w:t>20% des TPE interrogées ont considéré que la crise sanitaire n’a eu aucun impact sur leur activité</w:t>
      </w:r>
      <w:r w:rsidRPr="009C6C38">
        <w:rPr>
          <w:i/>
        </w:rPr>
        <w:t>.</w:t>
      </w:r>
    </w:p>
    <w:p w14:paraId="1E1530B0" w14:textId="579B1671" w:rsidR="00454672" w:rsidRDefault="00454672" w:rsidP="009C6C38">
      <w:pPr>
        <w:spacing w:before="40" w:after="40"/>
        <w:ind w:right="119"/>
        <w:jc w:val="both"/>
        <w:rPr>
          <w:i/>
          <w:sz w:val="20"/>
          <w:szCs w:val="20"/>
        </w:rPr>
      </w:pPr>
    </w:p>
    <w:p w14:paraId="5EBAE9CE" w14:textId="77777777" w:rsidR="00454672" w:rsidRPr="00454672" w:rsidRDefault="00454672" w:rsidP="00454672">
      <w:pPr>
        <w:rPr>
          <w:sz w:val="20"/>
          <w:szCs w:val="20"/>
        </w:rPr>
      </w:pPr>
    </w:p>
    <w:p w14:paraId="2D32A69E" w14:textId="77777777" w:rsidR="00454672" w:rsidRPr="00454672" w:rsidRDefault="00454672" w:rsidP="00454672">
      <w:pPr>
        <w:rPr>
          <w:sz w:val="20"/>
          <w:szCs w:val="20"/>
        </w:rPr>
      </w:pPr>
    </w:p>
    <w:p w14:paraId="1A536967" w14:textId="77777777" w:rsidR="00454672" w:rsidRPr="00454672" w:rsidRDefault="00454672" w:rsidP="00454672">
      <w:pPr>
        <w:rPr>
          <w:sz w:val="20"/>
          <w:szCs w:val="20"/>
        </w:rPr>
      </w:pPr>
    </w:p>
    <w:p w14:paraId="38678E83" w14:textId="77777777" w:rsidR="00454672" w:rsidRPr="00454672" w:rsidRDefault="00454672" w:rsidP="00454672">
      <w:pPr>
        <w:rPr>
          <w:sz w:val="20"/>
          <w:szCs w:val="20"/>
        </w:rPr>
      </w:pPr>
    </w:p>
    <w:p w14:paraId="7495FA0E" w14:textId="77777777" w:rsidR="00454672" w:rsidRPr="00454672" w:rsidRDefault="00454672" w:rsidP="00454672">
      <w:pPr>
        <w:rPr>
          <w:sz w:val="20"/>
          <w:szCs w:val="20"/>
        </w:rPr>
      </w:pPr>
    </w:p>
    <w:p w14:paraId="73B8D94F" w14:textId="38A6EEE3" w:rsidR="009C6C38" w:rsidRPr="00454672" w:rsidRDefault="00454672" w:rsidP="00454672">
      <w:pPr>
        <w:tabs>
          <w:tab w:val="left" w:pos="91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4CF2505" w14:textId="651F2644" w:rsidR="00AC7017" w:rsidRPr="00AC7017" w:rsidRDefault="00990232" w:rsidP="00AC7017">
      <w:pPr>
        <w:ind w:right="118"/>
        <w:jc w:val="both"/>
        <w:rPr>
          <w:rFonts w:asciiTheme="minorHAnsi" w:hAnsiTheme="minorHAnsi"/>
          <w:color w:val="333333"/>
          <w:sz w:val="24"/>
          <w:szCs w:val="24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 wp14:anchorId="770BE474" wp14:editId="723918B3">
            <wp:extent cx="6192000" cy="2623930"/>
            <wp:effectExtent l="0" t="0" r="18415" b="508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9CC0915" w14:textId="21EE138C" w:rsidR="00AC7017" w:rsidRDefault="00EB0D94" w:rsidP="00AC7017">
      <w:pPr>
        <w:spacing w:after="0" w:line="240" w:lineRule="auto"/>
        <w:ind w:right="17"/>
      </w:pPr>
      <w:r>
        <w:t>17,62</w:t>
      </w:r>
      <w:r w:rsidR="00AC7017" w:rsidRPr="00AC7017">
        <w:t>% des chefs d’entreprises constatent que l</w:t>
      </w:r>
      <w:r>
        <w:t xml:space="preserve">a crise sanitaire </w:t>
      </w:r>
      <w:r w:rsidR="00AC7017" w:rsidRPr="00AC7017">
        <w:t xml:space="preserve">a eu un impact « important à la baisse » de leur activité tandis que pour </w:t>
      </w:r>
      <w:r>
        <w:t>24,42</w:t>
      </w:r>
      <w:r w:rsidR="00AC7017" w:rsidRPr="00AC7017">
        <w:t xml:space="preserve">%  d’entre eux l’impact à la baisse a été moyen et l’impact à la baisse a été faible pour </w:t>
      </w:r>
      <w:r>
        <w:t>22,6</w:t>
      </w:r>
      <w:r w:rsidR="00AC7017" w:rsidRPr="00AC7017">
        <w:t xml:space="preserve">%.  </w:t>
      </w:r>
    </w:p>
    <w:p w14:paraId="0D2BDE40" w14:textId="77777777" w:rsidR="00EB0D94" w:rsidRPr="009C6C38" w:rsidRDefault="00EB0D94" w:rsidP="00AC7017">
      <w:pPr>
        <w:spacing w:after="0" w:line="240" w:lineRule="auto"/>
        <w:ind w:right="17"/>
        <w:rPr>
          <w:sz w:val="16"/>
          <w:szCs w:val="16"/>
        </w:rPr>
      </w:pPr>
    </w:p>
    <w:p w14:paraId="72B21C9F" w14:textId="22E031A7" w:rsidR="00AC7017" w:rsidRDefault="00AC7017" w:rsidP="00AC7017">
      <w:pPr>
        <w:spacing w:after="0" w:line="240" w:lineRule="auto"/>
        <w:ind w:right="17"/>
      </w:pPr>
      <w:r w:rsidRPr="00AC7017">
        <w:t>Après ce</w:t>
      </w:r>
      <w:r w:rsidR="00EB0D94">
        <w:t>tte crise sanitaire, seulement 8</w:t>
      </w:r>
      <w:r w:rsidRPr="00AC7017">
        <w:t>,</w:t>
      </w:r>
      <w:r w:rsidR="00EB0D94">
        <w:t>14</w:t>
      </w:r>
      <w:r w:rsidRPr="00AC7017">
        <w:t xml:space="preserve">% des chefs d’entreprises constatent un impact important à la hausse de leur activité tandis que pour </w:t>
      </w:r>
      <w:r w:rsidR="00EB0D94">
        <w:t>15,67</w:t>
      </w:r>
      <w:r w:rsidRPr="00AC7017">
        <w:t xml:space="preserve">%  d’entre eux l’impact à la hausse a été moyen et l’impact à la hausse a été faible pour </w:t>
      </w:r>
      <w:r w:rsidR="009C6C38">
        <w:t>11,54</w:t>
      </w:r>
      <w:r w:rsidRPr="00AC7017">
        <w:t xml:space="preserve">%.  </w:t>
      </w:r>
    </w:p>
    <w:p w14:paraId="6A8A87E1" w14:textId="77777777" w:rsidR="00A102EA" w:rsidRDefault="00A102EA" w:rsidP="00AC7017">
      <w:pPr>
        <w:spacing w:after="0" w:line="240" w:lineRule="auto"/>
        <w:ind w:right="17"/>
      </w:pPr>
    </w:p>
    <w:p w14:paraId="7E0B33E4" w14:textId="284E4811" w:rsidR="00A102EA" w:rsidRDefault="00A102EA" w:rsidP="00AC7017">
      <w:pPr>
        <w:spacing w:after="0" w:line="240" w:lineRule="auto"/>
        <w:ind w:right="17"/>
      </w:pPr>
      <w:r w:rsidRPr="00AC7017">
        <w:rPr>
          <w:noProof/>
          <w:lang w:eastAsia="fr-FR"/>
        </w:rPr>
        <w:lastRenderedPageBreak/>
        <w:drawing>
          <wp:inline distT="0" distB="0" distL="0" distR="0" wp14:anchorId="2F1E79FC" wp14:editId="5157EB52">
            <wp:extent cx="6192000" cy="2686050"/>
            <wp:effectExtent l="0" t="0" r="18415" b="0"/>
            <wp:docPr id="40" name="Graphique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E2F8D30" w14:textId="00E19AE9" w:rsidR="009C6C38" w:rsidRPr="00A102EA" w:rsidRDefault="00A102EA" w:rsidP="00A102EA">
      <w:pPr>
        <w:tabs>
          <w:tab w:val="left" w:pos="9053"/>
        </w:tabs>
      </w:pPr>
      <w:r>
        <w:tab/>
      </w:r>
    </w:p>
    <w:p w14:paraId="5CE49572" w14:textId="606B0088" w:rsidR="00AC7017" w:rsidRDefault="00AC7017" w:rsidP="00AC7017">
      <w:pPr>
        <w:spacing w:before="40" w:after="0" w:line="240" w:lineRule="auto"/>
        <w:ind w:right="17"/>
      </w:pPr>
      <w:r w:rsidRPr="00AC7017">
        <w:t xml:space="preserve">Les secteurs les plus touchés sont « Café Hôtellerie Restauration », « Transports »  et « Culture et loisirs » avec respectivement  </w:t>
      </w:r>
      <w:r w:rsidR="00A102EA">
        <w:t>48,1</w:t>
      </w:r>
      <w:r w:rsidRPr="00AC7017">
        <w:t>%, 44,3% et 40,0%.</w:t>
      </w:r>
    </w:p>
    <w:p w14:paraId="3D7B400E" w14:textId="77777777" w:rsidR="00A102EA" w:rsidRDefault="00A102EA" w:rsidP="00AC7017">
      <w:pPr>
        <w:spacing w:before="40" w:after="0" w:line="240" w:lineRule="auto"/>
        <w:ind w:right="17"/>
      </w:pPr>
    </w:p>
    <w:p w14:paraId="6ACEC4CA" w14:textId="671EB0EE" w:rsidR="00990232" w:rsidRPr="00AC7017" w:rsidRDefault="00A102EA" w:rsidP="00AC7017">
      <w:pPr>
        <w:spacing w:before="40" w:after="0" w:line="240" w:lineRule="auto"/>
        <w:ind w:right="17"/>
      </w:pPr>
      <w:r>
        <w:rPr>
          <w:noProof/>
          <w:lang w:eastAsia="fr-FR"/>
        </w:rPr>
        <w:drawing>
          <wp:inline distT="0" distB="0" distL="0" distR="0" wp14:anchorId="1F7681F0" wp14:editId="5D8C347F">
            <wp:extent cx="6192000" cy="3324225"/>
            <wp:effectExtent l="0" t="0" r="18415" b="9525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4846192B" w14:textId="77777777" w:rsidR="00AC7017" w:rsidRDefault="00AC7017" w:rsidP="00AC7017">
      <w:pPr>
        <w:spacing w:after="0" w:line="240" w:lineRule="auto"/>
        <w:ind w:right="17"/>
      </w:pPr>
    </w:p>
    <w:p w14:paraId="697477EA" w14:textId="53028D17" w:rsidR="00A102EA" w:rsidRDefault="00A102EA" w:rsidP="00A102EA">
      <w:pPr>
        <w:spacing w:before="40" w:after="0" w:line="240" w:lineRule="auto"/>
        <w:ind w:right="17"/>
      </w:pPr>
      <w:r w:rsidRPr="00AC7017">
        <w:t xml:space="preserve">Les secteurs les </w:t>
      </w:r>
      <w:r w:rsidR="000D37C2">
        <w:t xml:space="preserve">moins </w:t>
      </w:r>
      <w:r w:rsidRPr="00AC7017">
        <w:t>touchés sont « </w:t>
      </w:r>
      <w:r w:rsidR="000D37C2">
        <w:t>Equipement de la maison</w:t>
      </w:r>
      <w:r w:rsidRPr="00AC7017">
        <w:t> », « </w:t>
      </w:r>
      <w:r w:rsidR="000D37C2">
        <w:t>Automobile</w:t>
      </w:r>
      <w:r w:rsidRPr="00AC7017">
        <w:t> »  et « </w:t>
      </w:r>
      <w:r w:rsidR="000D37C2">
        <w:t>Commerce de détail alimentaire</w:t>
      </w:r>
      <w:r w:rsidRPr="00AC7017">
        <w:t xml:space="preserve"> » avec respectivement  </w:t>
      </w:r>
      <w:r w:rsidR="000D37C2">
        <w:t>53,8%, 50,0</w:t>
      </w:r>
      <w:r w:rsidRPr="00AC7017">
        <w:t xml:space="preserve">%, et </w:t>
      </w:r>
      <w:r w:rsidR="000D37C2">
        <w:t>25,9</w:t>
      </w:r>
      <w:r w:rsidRPr="00AC7017">
        <w:t>%.</w:t>
      </w:r>
    </w:p>
    <w:p w14:paraId="342945C4" w14:textId="77777777" w:rsidR="00A102EA" w:rsidRDefault="00A102EA" w:rsidP="00A102EA">
      <w:pPr>
        <w:spacing w:before="40" w:after="0" w:line="240" w:lineRule="auto"/>
        <w:ind w:right="17"/>
      </w:pPr>
    </w:p>
    <w:p w14:paraId="10FA329D" w14:textId="77777777" w:rsidR="00A102EA" w:rsidRPr="00AC7017" w:rsidRDefault="00A102EA" w:rsidP="00AC7017">
      <w:pPr>
        <w:spacing w:after="0" w:line="240" w:lineRule="auto"/>
        <w:ind w:right="17"/>
      </w:pPr>
    </w:p>
    <w:p w14:paraId="44406FE5" w14:textId="52496057" w:rsidR="00AC7017" w:rsidRDefault="001534EA" w:rsidP="00AC7017">
      <w:pPr>
        <w:ind w:right="118"/>
        <w:jc w:val="both"/>
        <w:rPr>
          <w:b/>
          <w:i/>
        </w:rPr>
      </w:pPr>
      <w:r>
        <w:rPr>
          <w:b/>
          <w:i/>
        </w:rPr>
        <w:t>5-2</w:t>
      </w:r>
      <w:r w:rsidR="00AC7017" w:rsidRPr="00AC7017">
        <w:rPr>
          <w:b/>
          <w:i/>
        </w:rPr>
        <w:t xml:space="preserve"> - De quelles aides </w:t>
      </w:r>
      <w:r>
        <w:rPr>
          <w:b/>
          <w:i/>
        </w:rPr>
        <w:t xml:space="preserve">financières avez-vous bénéficié </w:t>
      </w:r>
      <w:r w:rsidR="00AC7017" w:rsidRPr="00AC7017">
        <w:rPr>
          <w:b/>
          <w:i/>
        </w:rPr>
        <w:t xml:space="preserve">? </w:t>
      </w:r>
    </w:p>
    <w:p w14:paraId="052DFFED" w14:textId="6401D26E" w:rsidR="001534EA" w:rsidRDefault="001534EA" w:rsidP="001534EA">
      <w:pPr>
        <w:ind w:right="118"/>
        <w:jc w:val="both"/>
        <w:rPr>
          <w:b/>
          <w:i/>
        </w:rPr>
      </w:pPr>
      <w:r>
        <w:rPr>
          <w:b/>
          <w:i/>
        </w:rPr>
        <w:t>Rappel des différentes aides financières :</w:t>
      </w:r>
    </w:p>
    <w:p w14:paraId="275DF834" w14:textId="21E7CE9F" w:rsidR="00D56736" w:rsidRDefault="00A102EA" w:rsidP="001534EA">
      <w:pPr>
        <w:pStyle w:val="Paragraphedeliste"/>
        <w:numPr>
          <w:ilvl w:val="0"/>
          <w:numId w:val="17"/>
        </w:numPr>
        <w:spacing w:after="0" w:line="240" w:lineRule="auto"/>
        <w:ind w:left="714" w:right="119" w:hanging="357"/>
        <w:jc w:val="both"/>
        <w:rPr>
          <w:rFonts w:asciiTheme="minorHAnsi" w:hAnsiTheme="minorHAnsi" w:cs="Helvetica"/>
          <w:lang w:eastAsia="fr-FR"/>
        </w:rPr>
      </w:pPr>
      <w:r w:rsidRPr="001534EA">
        <w:rPr>
          <w:rFonts w:asciiTheme="minorHAnsi" w:hAnsiTheme="minorHAnsi" w:cs="Helvetica"/>
          <w:lang w:eastAsia="fr-FR"/>
        </w:rPr>
        <w:t xml:space="preserve">Un </w:t>
      </w:r>
      <w:r w:rsidRPr="001534EA">
        <w:rPr>
          <w:rFonts w:asciiTheme="minorHAnsi" w:hAnsiTheme="minorHAnsi" w:cs="Helvetica"/>
          <w:b/>
          <w:lang w:eastAsia="fr-FR"/>
        </w:rPr>
        <w:t>fonds de</w:t>
      </w:r>
      <w:r w:rsidR="00D56736" w:rsidRPr="001534EA">
        <w:rPr>
          <w:rFonts w:asciiTheme="minorHAnsi" w:hAnsiTheme="minorHAnsi" w:cs="Helvetica"/>
          <w:b/>
          <w:lang w:eastAsia="fr-FR"/>
        </w:rPr>
        <w:t xml:space="preserve"> solidarité</w:t>
      </w:r>
      <w:r w:rsidR="00D56736" w:rsidRPr="001534EA">
        <w:rPr>
          <w:rFonts w:asciiTheme="minorHAnsi" w:hAnsiTheme="minorHAnsi" w:cs="Helvetica"/>
          <w:lang w:eastAsia="fr-FR"/>
        </w:rPr>
        <w:t xml:space="preserve"> a été mis en place permettant l’indemnisation des pertes de chiffres d’affaires liées aux </w:t>
      </w:r>
      <w:r w:rsidR="001534EA">
        <w:rPr>
          <w:rFonts w:asciiTheme="minorHAnsi" w:hAnsiTheme="minorHAnsi" w:cs="Helvetica"/>
          <w:lang w:eastAsia="fr-FR"/>
        </w:rPr>
        <w:t>f</w:t>
      </w:r>
      <w:r w:rsidR="00D56736" w:rsidRPr="001534EA">
        <w:rPr>
          <w:rFonts w:asciiTheme="minorHAnsi" w:hAnsiTheme="minorHAnsi" w:cs="Helvetica"/>
          <w:lang w:eastAsia="fr-FR"/>
        </w:rPr>
        <w:t xml:space="preserve">ermetures ou « semi-fermetures » administratives et aux difficultés de certains secteurs. </w:t>
      </w:r>
    </w:p>
    <w:p w14:paraId="78ECA4D5" w14:textId="77777777" w:rsidR="001534EA" w:rsidRPr="001534EA" w:rsidRDefault="001534EA" w:rsidP="001534EA">
      <w:pPr>
        <w:pStyle w:val="Paragraphedeliste"/>
        <w:spacing w:after="0" w:line="240" w:lineRule="auto"/>
        <w:ind w:left="714" w:right="119"/>
        <w:jc w:val="both"/>
        <w:rPr>
          <w:rFonts w:asciiTheme="minorHAnsi" w:hAnsiTheme="minorHAnsi" w:cs="Helvetica"/>
          <w:lang w:eastAsia="fr-FR"/>
        </w:rPr>
      </w:pPr>
    </w:p>
    <w:p w14:paraId="6D1CFE27" w14:textId="260FE750" w:rsidR="001534EA" w:rsidRDefault="001534EA" w:rsidP="001534E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 w:rsidRPr="001534EA">
        <w:rPr>
          <w:rFonts w:asciiTheme="minorHAnsi" w:hAnsiTheme="minorHAnsi" w:cs="Helvetica"/>
          <w:b/>
          <w:lang w:eastAsia="fr-FR"/>
        </w:rPr>
        <w:t>URSSAF</w:t>
      </w:r>
      <w:r w:rsidR="00474EF5">
        <w:rPr>
          <w:rFonts w:asciiTheme="minorHAnsi" w:hAnsiTheme="minorHAnsi" w:cs="Helvetica"/>
          <w:lang w:eastAsia="fr-FR"/>
        </w:rPr>
        <w:t> : D</w:t>
      </w:r>
      <w:r w:rsidRPr="00A102EA">
        <w:rPr>
          <w:rFonts w:asciiTheme="minorHAnsi" w:hAnsiTheme="minorHAnsi" w:cs="Helvetica"/>
          <w:lang w:eastAsia="fr-FR"/>
        </w:rPr>
        <w:t xml:space="preserve">es aides au paiement des cotisations et contributions sociales jusqu’à des exonérations, en passant par des reports de paiement et/ou des échéanciers. </w:t>
      </w:r>
    </w:p>
    <w:p w14:paraId="5C36E963" w14:textId="77777777" w:rsidR="00CD4F81" w:rsidRPr="00A102EA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</w:p>
    <w:p w14:paraId="02D4D8AC" w14:textId="678825BF" w:rsidR="00D56736" w:rsidRDefault="00D56736" w:rsidP="00D5673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 w:rsidRPr="00A102EA">
        <w:rPr>
          <w:rFonts w:asciiTheme="minorHAnsi" w:hAnsiTheme="minorHAnsi" w:cs="Helvetica"/>
          <w:lang w:eastAsia="fr-FR"/>
        </w:rPr>
        <w:lastRenderedPageBreak/>
        <w:t xml:space="preserve">Un dispositif de </w:t>
      </w:r>
      <w:r w:rsidRPr="00A102EA">
        <w:rPr>
          <w:rFonts w:asciiTheme="minorHAnsi" w:hAnsiTheme="minorHAnsi" w:cs="Helvetica"/>
          <w:b/>
          <w:lang w:eastAsia="fr-FR"/>
        </w:rPr>
        <w:t>chômage partiel</w:t>
      </w:r>
      <w:r w:rsidRPr="00A102EA">
        <w:rPr>
          <w:rFonts w:asciiTheme="minorHAnsi" w:hAnsiTheme="minorHAnsi" w:cs="Helvetica"/>
          <w:lang w:eastAsia="fr-FR"/>
        </w:rPr>
        <w:t xml:space="preserve"> a été instauré pour ne pas pénaliser les salariés, </w:t>
      </w:r>
    </w:p>
    <w:p w14:paraId="1FECEE64" w14:textId="77777777" w:rsidR="00CD4F81" w:rsidRPr="00A102EA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</w:p>
    <w:p w14:paraId="3A88E2AD" w14:textId="77777777" w:rsidR="00D56736" w:rsidRDefault="00D56736" w:rsidP="00D5673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 w:rsidRPr="00A102EA">
        <w:rPr>
          <w:rFonts w:asciiTheme="minorHAnsi" w:hAnsiTheme="minorHAnsi" w:cs="Helvetica"/>
          <w:lang w:eastAsia="fr-FR"/>
        </w:rPr>
        <w:t>L</w:t>
      </w:r>
      <w:r w:rsidR="00A102EA" w:rsidRPr="00A102EA">
        <w:rPr>
          <w:rFonts w:asciiTheme="minorHAnsi" w:hAnsiTheme="minorHAnsi" w:cs="Helvetica"/>
          <w:lang w:eastAsia="fr-FR"/>
        </w:rPr>
        <w:t xml:space="preserve">a </w:t>
      </w:r>
      <w:r w:rsidR="00A102EA" w:rsidRPr="00A102EA">
        <w:rPr>
          <w:rFonts w:asciiTheme="minorHAnsi" w:hAnsiTheme="minorHAnsi" w:cs="Helvetica"/>
          <w:b/>
          <w:lang w:eastAsia="fr-FR"/>
        </w:rPr>
        <w:t>création des PGE</w:t>
      </w:r>
      <w:r w:rsidR="00A102EA" w:rsidRPr="00A102EA">
        <w:rPr>
          <w:rFonts w:asciiTheme="minorHAnsi" w:hAnsiTheme="minorHAnsi" w:cs="Helvetica"/>
          <w:lang w:eastAsia="fr-FR"/>
        </w:rPr>
        <w:t xml:space="preserve"> (prêts garantis par l’Etat) qui ont été aménagés plusieurs fois.</w:t>
      </w:r>
    </w:p>
    <w:p w14:paraId="1F475DA1" w14:textId="77777777" w:rsidR="00CD4F81" w:rsidRPr="00A102EA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</w:p>
    <w:p w14:paraId="14FC4EB6" w14:textId="19875C0D" w:rsidR="00CD4F81" w:rsidRDefault="001534EA" w:rsidP="00CD4F8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 w:rsidRPr="001534EA">
        <w:rPr>
          <w:rFonts w:asciiTheme="minorHAnsi" w:hAnsiTheme="minorHAnsi" w:cs="Helvetica"/>
          <w:b/>
          <w:lang w:eastAsia="fr-FR"/>
        </w:rPr>
        <w:t xml:space="preserve">Aides aux </w:t>
      </w:r>
      <w:r w:rsidR="00D56736" w:rsidRPr="00A102EA">
        <w:rPr>
          <w:rFonts w:asciiTheme="minorHAnsi" w:hAnsiTheme="minorHAnsi" w:cs="Helvetica"/>
          <w:b/>
          <w:lang w:eastAsia="fr-FR"/>
        </w:rPr>
        <w:t>coûts fixes</w:t>
      </w:r>
      <w:r>
        <w:rPr>
          <w:rFonts w:asciiTheme="minorHAnsi" w:hAnsiTheme="minorHAnsi" w:cs="Helvetica"/>
          <w:lang w:eastAsia="fr-FR"/>
        </w:rPr>
        <w:t xml:space="preserve"> (prise en charge)</w:t>
      </w:r>
    </w:p>
    <w:p w14:paraId="78E31A4A" w14:textId="77777777" w:rsidR="00CD4F81" w:rsidRPr="00CD4F81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</w:p>
    <w:p w14:paraId="51403697" w14:textId="2E589D3C" w:rsidR="00D56736" w:rsidRDefault="001534EA" w:rsidP="00FE25F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 w:rsidRPr="001534EA">
        <w:rPr>
          <w:rFonts w:asciiTheme="minorHAnsi" w:hAnsiTheme="minorHAnsi" w:cs="Helvetica"/>
          <w:b/>
          <w:lang w:eastAsia="fr-FR"/>
        </w:rPr>
        <w:t>Autres aides</w:t>
      </w:r>
      <w:r>
        <w:rPr>
          <w:rFonts w:asciiTheme="minorHAnsi" w:hAnsiTheme="minorHAnsi" w:cs="Helvetica"/>
          <w:lang w:eastAsia="fr-FR"/>
        </w:rPr>
        <w:t xml:space="preserve"> : </w:t>
      </w:r>
      <w:r w:rsidR="00D56736" w:rsidRPr="00A102EA">
        <w:rPr>
          <w:rFonts w:asciiTheme="minorHAnsi" w:hAnsiTheme="minorHAnsi" w:cs="Helvetica"/>
          <w:lang w:eastAsia="fr-FR"/>
        </w:rPr>
        <w:t xml:space="preserve">l’aide au stock, l’aide à la reprise, les prêts directs de l’Etat, l’aide renfort… </w:t>
      </w:r>
    </w:p>
    <w:p w14:paraId="7D4F2A41" w14:textId="77777777" w:rsidR="00CD4F81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</w:p>
    <w:p w14:paraId="5046B456" w14:textId="382A2547" w:rsidR="00D56736" w:rsidRDefault="001534EA" w:rsidP="00D5673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  <w:r>
        <w:rPr>
          <w:rFonts w:asciiTheme="minorHAnsi" w:hAnsiTheme="minorHAnsi" w:cs="Helvetica"/>
          <w:lang w:eastAsia="fr-FR"/>
        </w:rPr>
        <w:t>D</w:t>
      </w:r>
      <w:r w:rsidR="00D56736" w:rsidRPr="00D56736">
        <w:rPr>
          <w:rFonts w:asciiTheme="minorHAnsi" w:hAnsiTheme="minorHAnsi" w:cs="Helvetica"/>
          <w:lang w:eastAsia="fr-FR"/>
        </w:rPr>
        <w:t xml:space="preserve">es </w:t>
      </w:r>
      <w:r w:rsidR="00D56736" w:rsidRPr="001534EA">
        <w:rPr>
          <w:rFonts w:asciiTheme="minorHAnsi" w:hAnsiTheme="minorHAnsi" w:cs="Helvetica"/>
          <w:b/>
          <w:lang w:eastAsia="fr-FR"/>
        </w:rPr>
        <w:t>aides régionales</w:t>
      </w:r>
      <w:r w:rsidR="00D56736" w:rsidRPr="00D56736">
        <w:rPr>
          <w:rFonts w:asciiTheme="minorHAnsi" w:hAnsiTheme="minorHAnsi" w:cs="Helvetica"/>
          <w:lang w:eastAsia="fr-FR"/>
        </w:rPr>
        <w:t>, locales ou encore des aides propres à certaines branches d’activité.</w:t>
      </w:r>
    </w:p>
    <w:p w14:paraId="3A797DA7" w14:textId="1CBDE4B5" w:rsidR="001534EA" w:rsidRPr="001534EA" w:rsidRDefault="001534EA" w:rsidP="001534E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fr-FR"/>
        </w:rPr>
      </w:pPr>
    </w:p>
    <w:p w14:paraId="75629850" w14:textId="613F9F9F" w:rsidR="00AC7017" w:rsidRDefault="00FC0084" w:rsidP="00AC7017">
      <w:pPr>
        <w:ind w:right="118"/>
        <w:jc w:val="both"/>
        <w:rPr>
          <w:i/>
        </w:rPr>
      </w:pPr>
      <w:r>
        <w:rPr>
          <w:noProof/>
          <w:lang w:eastAsia="fr-FR"/>
        </w:rPr>
        <w:drawing>
          <wp:inline distT="0" distB="0" distL="0" distR="0" wp14:anchorId="60DB7612" wp14:editId="35D22638">
            <wp:extent cx="6192000" cy="3462338"/>
            <wp:effectExtent l="0" t="0" r="18415" b="5080"/>
            <wp:docPr id="11" name="Graphique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4FE6C9E" w14:textId="77777777" w:rsidR="00FC0084" w:rsidRPr="00FC0084" w:rsidRDefault="00FC0084" w:rsidP="00FC0084">
      <w:pPr>
        <w:ind w:right="118"/>
        <w:jc w:val="both"/>
        <w:rPr>
          <w:b/>
        </w:rPr>
      </w:pPr>
      <w:r w:rsidRPr="00FC0084">
        <w:rPr>
          <w:b/>
        </w:rPr>
        <w:t xml:space="preserve">34,5% des entreprises interrogées n’ont bénéficié d’aucune aide. </w:t>
      </w:r>
    </w:p>
    <w:p w14:paraId="0ADB2E0B" w14:textId="0D9C69D9" w:rsidR="00CD4F81" w:rsidRDefault="00CD4F81" w:rsidP="00CD4F81">
      <w:pPr>
        <w:autoSpaceDE w:val="0"/>
        <w:autoSpaceDN w:val="0"/>
        <w:adjustRightInd w:val="0"/>
        <w:spacing w:after="0" w:line="240" w:lineRule="auto"/>
        <w:contextualSpacing/>
      </w:pPr>
      <w:r>
        <w:t xml:space="preserve">Après deux ans de COVID, </w:t>
      </w:r>
      <w:r w:rsidR="00AC7017" w:rsidRPr="00AC7017">
        <w:t xml:space="preserve"> </w:t>
      </w:r>
      <w:r>
        <w:t xml:space="preserve">41,6% </w:t>
      </w:r>
      <w:r w:rsidR="00AC7017" w:rsidRPr="00AC7017">
        <w:t>des adhérents ont bénéficié du fonds de solidarité afin de prévenir leur entreprise d’une cessation d’activité.</w:t>
      </w:r>
      <w:r>
        <w:t xml:space="preserve">  </w:t>
      </w:r>
    </w:p>
    <w:p w14:paraId="6378D1A0" w14:textId="15820463" w:rsidR="00CD4F81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>
        <w:t xml:space="preserve">Concernant l’URSSAF, 35,8% des chefs d’entreprises ont pu bénéficier de mesures adaptées pour le </w:t>
      </w:r>
      <w:r w:rsidRPr="00A102EA">
        <w:rPr>
          <w:rFonts w:asciiTheme="minorHAnsi" w:hAnsiTheme="minorHAnsi" w:cs="Helvetica"/>
          <w:lang w:eastAsia="fr-FR"/>
        </w:rPr>
        <w:t xml:space="preserve">paiement des cotisations et contributions sociales jusqu’à des exonérations, en passant par des reports de paiement et/ou des échéanciers. </w:t>
      </w:r>
    </w:p>
    <w:p w14:paraId="28D6E96E" w14:textId="2D647DA1" w:rsidR="00CD4F81" w:rsidRDefault="00CD4F81" w:rsidP="00CD4F81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lang w:eastAsia="fr-FR"/>
        </w:rPr>
      </w:pPr>
      <w:r>
        <w:t xml:space="preserve">Pour ne </w:t>
      </w:r>
      <w:r w:rsidRPr="00AC7017">
        <w:t xml:space="preserve">pas trop impacter leur trésorerie </w:t>
      </w:r>
      <w:r>
        <w:t>34,2</w:t>
      </w:r>
      <w:r w:rsidRPr="00AC7017">
        <w:t xml:space="preserve">% ont </w:t>
      </w:r>
      <w:r>
        <w:t>bénéficié du prêt garanti par l’Etat (</w:t>
      </w:r>
      <w:r w:rsidRPr="00AC7017">
        <w:t>PGE</w:t>
      </w:r>
      <w:r>
        <w:t>).</w:t>
      </w:r>
    </w:p>
    <w:p w14:paraId="0D4AADA2" w14:textId="77777777" w:rsidR="00CD4F81" w:rsidRDefault="00AC7017" w:rsidP="00CD4F81">
      <w:pPr>
        <w:spacing w:after="0"/>
        <w:ind w:right="119"/>
        <w:jc w:val="both"/>
      </w:pPr>
      <w:r w:rsidRPr="00AC7017">
        <w:t xml:space="preserve">Pour éviter les licenciements, </w:t>
      </w:r>
      <w:r w:rsidR="00CD4F81">
        <w:t>18,2</w:t>
      </w:r>
      <w:r w:rsidRPr="00AC7017">
        <w:t>% ont pu bénéficier du chômage partiel.</w:t>
      </w:r>
    </w:p>
    <w:p w14:paraId="67B9E2AA" w14:textId="56E1A18E" w:rsidR="00CD4F81" w:rsidRDefault="00AC7017" w:rsidP="00AC7017">
      <w:pPr>
        <w:ind w:right="118"/>
        <w:jc w:val="both"/>
      </w:pPr>
      <w:r w:rsidRPr="00AC7017">
        <w:t xml:space="preserve">Seulement </w:t>
      </w:r>
      <w:r w:rsidR="00474EF5">
        <w:t>8,9</w:t>
      </w:r>
      <w:r w:rsidRPr="00AC7017">
        <w:t>% des entreprises o</w:t>
      </w:r>
      <w:r w:rsidR="00CD4F81">
        <w:t>nt bénéficié d’aides régionales</w:t>
      </w:r>
      <w:r w:rsidR="00FC0084">
        <w:t xml:space="preserve"> et 0,7% d’aides aux cout</w:t>
      </w:r>
      <w:r w:rsidR="00550A96">
        <w:t>s</w:t>
      </w:r>
      <w:r w:rsidR="00FC0084">
        <w:t xml:space="preserve"> fixes</w:t>
      </w:r>
      <w:r w:rsidR="00CD4F81">
        <w:t xml:space="preserve">. </w:t>
      </w:r>
    </w:p>
    <w:p w14:paraId="5E74E7EC" w14:textId="08AD54B2" w:rsidR="00550A96" w:rsidRDefault="00550A96" w:rsidP="00550A96">
      <w:pPr>
        <w:ind w:right="118"/>
        <w:jc w:val="both"/>
        <w:rPr>
          <w:b/>
          <w:i/>
        </w:rPr>
      </w:pPr>
      <w:r>
        <w:rPr>
          <w:b/>
          <w:i/>
        </w:rPr>
        <w:t>5-3</w:t>
      </w:r>
      <w:r w:rsidRPr="00AC7017">
        <w:rPr>
          <w:b/>
          <w:i/>
        </w:rPr>
        <w:t xml:space="preserve"> </w:t>
      </w:r>
      <w:r>
        <w:rPr>
          <w:b/>
          <w:i/>
        </w:rPr>
        <w:t>–</w:t>
      </w:r>
      <w:r w:rsidRPr="00AC7017">
        <w:rPr>
          <w:b/>
          <w:i/>
        </w:rPr>
        <w:t xml:space="preserve"> </w:t>
      </w:r>
      <w:r>
        <w:rPr>
          <w:b/>
          <w:i/>
        </w:rPr>
        <w:t xml:space="preserve">Considérez-vous que ces aides ont été adaptées à votre situation </w:t>
      </w:r>
      <w:r w:rsidRPr="00AC7017">
        <w:rPr>
          <w:b/>
          <w:i/>
        </w:rPr>
        <w:t xml:space="preserve">? </w:t>
      </w:r>
    </w:p>
    <w:p w14:paraId="63259F89" w14:textId="45AB5EB1" w:rsidR="00550A96" w:rsidRDefault="00550A96" w:rsidP="00550A96">
      <w:pPr>
        <w:ind w:right="118"/>
        <w:jc w:val="both"/>
        <w:rPr>
          <w:b/>
          <w:i/>
        </w:rPr>
      </w:pPr>
      <w:r>
        <w:rPr>
          <w:noProof/>
          <w:lang w:eastAsia="fr-FR"/>
        </w:rPr>
        <w:lastRenderedPageBreak/>
        <w:drawing>
          <wp:inline distT="0" distB="0" distL="0" distR="0" wp14:anchorId="5A5C7774" wp14:editId="5ED06FC5">
            <wp:extent cx="6192000" cy="2520564"/>
            <wp:effectExtent l="0" t="0" r="18415" b="13335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0E06992" w14:textId="7F3606C9" w:rsidR="00FE578A" w:rsidRDefault="00FE578A" w:rsidP="00FE578A">
      <w:pPr>
        <w:ind w:right="16"/>
        <w:jc w:val="both"/>
      </w:pPr>
      <w:r>
        <w:t xml:space="preserve">47,9% des chefs d’entreprise interrogés considèrent ces aides adaptées à la situation. Ils </w:t>
      </w:r>
      <w:r w:rsidRPr="00D903CD">
        <w:t xml:space="preserve">viennent principalement des secteurs </w:t>
      </w:r>
      <w:r>
        <w:t>« Equip</w:t>
      </w:r>
      <w:r w:rsidR="00474EF5">
        <w:t>em</w:t>
      </w:r>
      <w:r>
        <w:t xml:space="preserve">ent de la personne » pour 84,0%, </w:t>
      </w:r>
      <w:r w:rsidRPr="00D903CD">
        <w:t>«</w:t>
      </w:r>
      <w:r>
        <w:t xml:space="preserve"> Café Hôtel Restaurant » </w:t>
      </w:r>
      <w:r w:rsidRPr="00D903CD">
        <w:t xml:space="preserve">pour </w:t>
      </w:r>
      <w:r>
        <w:t xml:space="preserve">75,4 </w:t>
      </w:r>
      <w:r w:rsidRPr="00D903CD">
        <w:t>%,</w:t>
      </w:r>
      <w:r>
        <w:t xml:space="preserve"> suivis des secteurs « Beauté esthétique » (70,0%), </w:t>
      </w:r>
      <w:r w:rsidRPr="00D903CD">
        <w:t>«</w:t>
      </w:r>
      <w:r>
        <w:t xml:space="preserve"> Culture et loisirs</w:t>
      </w:r>
      <w:r w:rsidR="00491DE3">
        <w:t xml:space="preserve"> </w:t>
      </w:r>
      <w:r>
        <w:t>» (63,6%) % et « Transports » (55,0%) et « Services » (50,0%). Les secteurs « Automobile » et « Commerce de détail alimentaire »</w:t>
      </w:r>
      <w:r w:rsidR="00474EF5">
        <w:t xml:space="preserve"> </w:t>
      </w:r>
      <w:r>
        <w:t>arrivent en dernier avec respectivement (26,9 %) et (20,8%).</w:t>
      </w:r>
    </w:p>
    <w:p w14:paraId="0497DDEF" w14:textId="4FC334AF" w:rsidR="00FE578A" w:rsidRPr="00C13CBF" w:rsidRDefault="00FE578A" w:rsidP="00BF7EF2">
      <w:pPr>
        <w:spacing w:after="360"/>
        <w:ind w:right="17"/>
        <w:jc w:val="both"/>
        <w:rPr>
          <w:b/>
        </w:rPr>
      </w:pPr>
      <w:r w:rsidRPr="00C13CBF">
        <w:rPr>
          <w:b/>
        </w:rPr>
        <w:t>31,2% répondent ne pas être concernés.</w:t>
      </w:r>
    </w:p>
    <w:p w14:paraId="2D230671" w14:textId="71652C3B" w:rsidR="00550A96" w:rsidRDefault="00FE578A" w:rsidP="00550A96">
      <w:pPr>
        <w:ind w:right="118"/>
        <w:jc w:val="both"/>
        <w:rPr>
          <w:b/>
          <w:i/>
        </w:rPr>
      </w:pPr>
      <w:r>
        <w:rPr>
          <w:noProof/>
          <w:lang w:eastAsia="fr-FR"/>
        </w:rPr>
        <w:drawing>
          <wp:inline distT="0" distB="0" distL="0" distR="0" wp14:anchorId="515EB91C" wp14:editId="410E3CEA">
            <wp:extent cx="6833870" cy="3005593"/>
            <wp:effectExtent l="0" t="0" r="5080" b="444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A3873B" w14:textId="77777777" w:rsidR="00BF7EF2" w:rsidRDefault="00BF7EF2" w:rsidP="00BF7EF2">
      <w:pPr>
        <w:ind w:right="118"/>
        <w:jc w:val="both"/>
        <w:rPr>
          <w:b/>
          <w:i/>
        </w:rPr>
      </w:pPr>
      <w:r>
        <w:rPr>
          <w:b/>
          <w:i/>
        </w:rPr>
        <w:t>5-4</w:t>
      </w:r>
      <w:r w:rsidRPr="00AC7017">
        <w:rPr>
          <w:b/>
          <w:i/>
        </w:rPr>
        <w:t xml:space="preserve"> </w:t>
      </w:r>
      <w:r>
        <w:rPr>
          <w:b/>
          <w:i/>
        </w:rPr>
        <w:t>–</w:t>
      </w:r>
      <w:r w:rsidRPr="00AC7017">
        <w:rPr>
          <w:b/>
          <w:i/>
        </w:rPr>
        <w:t xml:space="preserve"> </w:t>
      </w:r>
      <w:r>
        <w:rPr>
          <w:b/>
          <w:i/>
        </w:rPr>
        <w:t>Suite à la crise sanitaire,  quelles difficultés rencontrez-vous aujourd’hui ?</w:t>
      </w:r>
    </w:p>
    <w:p w14:paraId="562928D9" w14:textId="45445E6A" w:rsidR="00BF7EF2" w:rsidRDefault="00BF7EF2" w:rsidP="00BF7EF2">
      <w:pPr>
        <w:ind w:right="118"/>
        <w:jc w:val="both"/>
        <w:rPr>
          <w:b/>
          <w:i/>
        </w:rPr>
      </w:pPr>
      <w:r>
        <w:rPr>
          <w:noProof/>
          <w:lang w:eastAsia="fr-FR"/>
        </w:rPr>
        <w:lastRenderedPageBreak/>
        <w:drawing>
          <wp:inline distT="0" distB="0" distL="0" distR="0" wp14:anchorId="6AE6D7C8" wp14:editId="4190BD9C">
            <wp:extent cx="6143625" cy="2838616"/>
            <wp:effectExtent l="0" t="0" r="9525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Pr="00AC7017">
        <w:rPr>
          <w:b/>
          <w:i/>
        </w:rPr>
        <w:t xml:space="preserve"> </w:t>
      </w:r>
    </w:p>
    <w:p w14:paraId="086FD893" w14:textId="77777777" w:rsidR="006D5E8A" w:rsidRDefault="00BF7EF2" w:rsidP="006D5E8A">
      <w:pPr>
        <w:spacing w:after="0" w:line="240" w:lineRule="auto"/>
        <w:ind w:right="17"/>
        <w:jc w:val="both"/>
      </w:pPr>
      <w:r w:rsidRPr="00BF7EF2">
        <w:t>La crise sanitaire a eu un retentissement de grande ampleur dans tous les domaines de l'économie dès début 2020. La mise à l'arrêt de pans entiers de l'activité suivie d'épisodes de reprise a affecté les marchés, l'emploi et le monde du travail.</w:t>
      </w:r>
      <w:r>
        <w:t xml:space="preserve"> Plus de la moitié des chefs d’entreprise interrogés ont du mal à relancer leur activité (52,7%).Prés de 40% d’entre eux ont des difficultés de trésorerie. Seulement 16,7% rencontrent des problème</w:t>
      </w:r>
      <w:r w:rsidR="006D5E8A">
        <w:t>s</w:t>
      </w:r>
      <w:r>
        <w:t xml:space="preserve"> de gestion de personnel </w:t>
      </w:r>
      <w:r w:rsidR="006D5E8A">
        <w:t xml:space="preserve">et 7,4% d’endettement. </w:t>
      </w:r>
    </w:p>
    <w:p w14:paraId="38722779" w14:textId="77777777" w:rsidR="00C13CBF" w:rsidRDefault="00C13CBF" w:rsidP="006D5E8A">
      <w:pPr>
        <w:spacing w:after="0" w:line="240" w:lineRule="auto"/>
        <w:ind w:right="17"/>
        <w:jc w:val="both"/>
      </w:pPr>
    </w:p>
    <w:p w14:paraId="09AFD6B6" w14:textId="77777777" w:rsidR="00C13CBF" w:rsidRPr="00474EF5" w:rsidRDefault="006D5E8A" w:rsidP="006D5E8A">
      <w:pPr>
        <w:spacing w:after="0" w:line="240" w:lineRule="auto"/>
        <w:ind w:right="17"/>
        <w:jc w:val="both"/>
        <w:rPr>
          <w:b/>
        </w:rPr>
      </w:pPr>
      <w:r w:rsidRPr="00474EF5">
        <w:rPr>
          <w:b/>
        </w:rPr>
        <w:t>En conclusion</w:t>
      </w:r>
      <w:r w:rsidR="00C13CBF" w:rsidRPr="00474EF5">
        <w:rPr>
          <w:b/>
        </w:rPr>
        <w:t xml:space="preserve"> : </w:t>
      </w:r>
    </w:p>
    <w:p w14:paraId="61DFA35E" w14:textId="77777777" w:rsidR="00474EF5" w:rsidRDefault="00474EF5" w:rsidP="006D5E8A">
      <w:pPr>
        <w:spacing w:after="0" w:line="240" w:lineRule="auto"/>
        <w:ind w:right="17"/>
        <w:jc w:val="both"/>
      </w:pPr>
    </w:p>
    <w:p w14:paraId="02189020" w14:textId="64887439" w:rsidR="006D5E8A" w:rsidRPr="006D5E8A" w:rsidRDefault="00C13CBF" w:rsidP="006D5E8A">
      <w:pPr>
        <w:spacing w:after="0" w:line="240" w:lineRule="auto"/>
        <w:ind w:right="17"/>
        <w:jc w:val="both"/>
      </w:pPr>
      <w:r>
        <w:t>C</w:t>
      </w:r>
      <w:r w:rsidR="006D5E8A">
        <w:t>omme constaté, l</w:t>
      </w:r>
      <w:r w:rsidR="006D5E8A" w:rsidRPr="006D5E8A">
        <w:t>e soutien de l’Etat à l’économie par des aides de différentes natures a joué à plein et notam</w:t>
      </w:r>
      <w:r w:rsidR="006D5E8A">
        <w:t>m</w:t>
      </w:r>
      <w:r w:rsidR="006D5E8A" w:rsidRPr="006D5E8A">
        <w:t xml:space="preserve">ent pour les petites entreprises. </w:t>
      </w:r>
    </w:p>
    <w:p w14:paraId="61BD789B" w14:textId="35624DBB" w:rsidR="00454672" w:rsidRDefault="006D5E8A" w:rsidP="006D5E8A">
      <w:pPr>
        <w:spacing w:after="0" w:line="240" w:lineRule="auto"/>
        <w:ind w:right="17"/>
        <w:jc w:val="both"/>
      </w:pPr>
      <w:r w:rsidRPr="006D5E8A">
        <w:t>Tous les autres secteurs améliorent leurs résultats courants moyens avec ou sans</w:t>
      </w:r>
      <w:r>
        <w:t xml:space="preserve"> l</w:t>
      </w:r>
      <w:r w:rsidRPr="006D5E8A">
        <w:t>es aides. L’année 2022 s’est ouverte sur de fortes perturbations internationales qui ont des répercussions locales. En France, la fin annoncée du « quoi qu’il en coûte » inquiète une économie sous perfusion</w:t>
      </w:r>
      <w:r w:rsidRPr="00C13CBF">
        <w:t>. (Source</w:t>
      </w:r>
      <w:r w:rsidR="00AC29BC" w:rsidRPr="00C13CBF">
        <w:t xml:space="preserve"> : </w:t>
      </w:r>
      <w:r w:rsidRPr="00C13CBF">
        <w:t>FCGA : Cahier chiffres et commentaires N° 23)</w:t>
      </w:r>
    </w:p>
    <w:p w14:paraId="174CD7E0" w14:textId="7A027726" w:rsidR="00454672" w:rsidRDefault="00454672" w:rsidP="00454672"/>
    <w:p w14:paraId="4BA1F7A5" w14:textId="1FA6651D" w:rsidR="006D5E8A" w:rsidRPr="00454672" w:rsidRDefault="00454672" w:rsidP="00454672">
      <w:pPr>
        <w:tabs>
          <w:tab w:val="left" w:pos="9060"/>
        </w:tabs>
      </w:pPr>
      <w:r>
        <w:tab/>
      </w:r>
      <w:bookmarkStart w:id="0" w:name="_GoBack"/>
      <w:bookmarkEnd w:id="0"/>
    </w:p>
    <w:sectPr w:rsidR="006D5E8A" w:rsidRPr="00454672" w:rsidSect="000C018A">
      <w:footerReference w:type="default" r:id="rId32"/>
      <w:pgSz w:w="11906" w:h="16838"/>
      <w:pgMar w:top="720" w:right="424" w:bottom="720" w:left="72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0AAC" w14:textId="77777777" w:rsidR="00E04B78" w:rsidRDefault="00E04B78">
      <w:r>
        <w:separator/>
      </w:r>
    </w:p>
  </w:endnote>
  <w:endnote w:type="continuationSeparator" w:id="0">
    <w:p w14:paraId="3CC4FEC8" w14:textId="77777777" w:rsidR="00E04B78" w:rsidRDefault="00E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729643"/>
      <w:docPartObj>
        <w:docPartGallery w:val="Page Numbers (Bottom of Page)"/>
        <w:docPartUnique/>
      </w:docPartObj>
    </w:sdtPr>
    <w:sdtContent>
      <w:p w14:paraId="03EEAB34" w14:textId="4CDC3A3A" w:rsidR="00454672" w:rsidRDefault="00454672" w:rsidP="00454672">
        <w:pPr>
          <w:pStyle w:val="Pieddepage"/>
        </w:pPr>
        <w:r w:rsidRPr="00A45DFC">
          <w:rPr>
            <w:sz w:val="18"/>
            <w:szCs w:val="18"/>
          </w:rPr>
          <w:t>Baromètre</w:t>
        </w:r>
        <w:r>
          <w:rPr>
            <w:sz w:val="18"/>
            <w:szCs w:val="18"/>
          </w:rPr>
          <w:t xml:space="preserve"> 3T2022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  <w:t>Page</w:t>
        </w:r>
        <w:r w:rsidRPr="00A45DFC">
          <w:rPr>
            <w:rStyle w:val="Numrodepage"/>
            <w:sz w:val="18"/>
            <w:szCs w:val="18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58558" w14:textId="77777777" w:rsidR="00E04B78" w:rsidRDefault="00E04B78">
      <w:r>
        <w:separator/>
      </w:r>
    </w:p>
  </w:footnote>
  <w:footnote w:type="continuationSeparator" w:id="0">
    <w:p w14:paraId="08AEFE03" w14:textId="77777777" w:rsidR="00E04B78" w:rsidRDefault="00E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E9"/>
      </v:shape>
    </w:pict>
  </w:numPicBullet>
  <w:abstractNum w:abstractNumId="0" w15:restartNumberingAfterBreak="0">
    <w:nsid w:val="054902B4"/>
    <w:multiLevelType w:val="multilevel"/>
    <w:tmpl w:val="B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3FC4"/>
    <w:multiLevelType w:val="hybridMultilevel"/>
    <w:tmpl w:val="AB5EE95C"/>
    <w:lvl w:ilvl="0" w:tplc="8CD8B934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459451E"/>
    <w:multiLevelType w:val="hybridMultilevel"/>
    <w:tmpl w:val="B19E694C"/>
    <w:lvl w:ilvl="0" w:tplc="BD40B5B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C3C"/>
    <w:multiLevelType w:val="hybridMultilevel"/>
    <w:tmpl w:val="49CEF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76F3"/>
    <w:multiLevelType w:val="multilevel"/>
    <w:tmpl w:val="409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D0CD3"/>
    <w:multiLevelType w:val="hybridMultilevel"/>
    <w:tmpl w:val="94F06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67C"/>
    <w:multiLevelType w:val="multilevel"/>
    <w:tmpl w:val="B19E694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33ED"/>
    <w:multiLevelType w:val="multilevel"/>
    <w:tmpl w:val="8DBC092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68323E9"/>
    <w:multiLevelType w:val="multilevel"/>
    <w:tmpl w:val="B36852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91C4781"/>
    <w:multiLevelType w:val="hybridMultilevel"/>
    <w:tmpl w:val="AACA83D4"/>
    <w:lvl w:ilvl="0" w:tplc="685E79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0732"/>
    <w:multiLevelType w:val="multilevel"/>
    <w:tmpl w:val="972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928F6"/>
    <w:multiLevelType w:val="multilevel"/>
    <w:tmpl w:val="2D789F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395685D"/>
    <w:multiLevelType w:val="hybridMultilevel"/>
    <w:tmpl w:val="D58AC6A8"/>
    <w:lvl w:ilvl="0" w:tplc="B764F2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1182E"/>
    <w:multiLevelType w:val="hybridMultilevel"/>
    <w:tmpl w:val="D1483848"/>
    <w:lvl w:ilvl="0" w:tplc="08B200B0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931349"/>
    <w:multiLevelType w:val="hybridMultilevel"/>
    <w:tmpl w:val="3454FA42"/>
    <w:lvl w:ilvl="0" w:tplc="685E79AE">
      <w:start w:val="1"/>
      <w:numFmt w:val="bullet"/>
      <w:lvlText w:val=""/>
      <w:lvlPicBulletId w:val="0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506EA"/>
    <w:multiLevelType w:val="hybridMultilevel"/>
    <w:tmpl w:val="50309C24"/>
    <w:lvl w:ilvl="0" w:tplc="685E79A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B4B9B"/>
    <w:multiLevelType w:val="multilevel"/>
    <w:tmpl w:val="72E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4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13"/>
  </w:num>
  <w:num w:numId="14">
    <w:abstractNumId w:val="0"/>
  </w:num>
  <w:num w:numId="15">
    <w:abstractNumId w:val="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63F"/>
    <w:rsid w:val="00002BEF"/>
    <w:rsid w:val="0000789E"/>
    <w:rsid w:val="000101A0"/>
    <w:rsid w:val="000159F5"/>
    <w:rsid w:val="0001666E"/>
    <w:rsid w:val="000269B8"/>
    <w:rsid w:val="0003038D"/>
    <w:rsid w:val="00032367"/>
    <w:rsid w:val="000326D7"/>
    <w:rsid w:val="00036AC2"/>
    <w:rsid w:val="000375C8"/>
    <w:rsid w:val="00037F1D"/>
    <w:rsid w:val="000410F0"/>
    <w:rsid w:val="000519BA"/>
    <w:rsid w:val="00053558"/>
    <w:rsid w:val="0006448F"/>
    <w:rsid w:val="000730DA"/>
    <w:rsid w:val="00074606"/>
    <w:rsid w:val="00077E45"/>
    <w:rsid w:val="000800DE"/>
    <w:rsid w:val="0008101A"/>
    <w:rsid w:val="00082770"/>
    <w:rsid w:val="000900E7"/>
    <w:rsid w:val="000902FF"/>
    <w:rsid w:val="0009099D"/>
    <w:rsid w:val="00091255"/>
    <w:rsid w:val="00097352"/>
    <w:rsid w:val="000A144C"/>
    <w:rsid w:val="000B198C"/>
    <w:rsid w:val="000B1BD2"/>
    <w:rsid w:val="000B4180"/>
    <w:rsid w:val="000B787F"/>
    <w:rsid w:val="000C018A"/>
    <w:rsid w:val="000C0B11"/>
    <w:rsid w:val="000C2A4D"/>
    <w:rsid w:val="000C314D"/>
    <w:rsid w:val="000C6E6F"/>
    <w:rsid w:val="000C6F80"/>
    <w:rsid w:val="000C75B9"/>
    <w:rsid w:val="000C7A64"/>
    <w:rsid w:val="000D37C2"/>
    <w:rsid w:val="000D403C"/>
    <w:rsid w:val="000D5020"/>
    <w:rsid w:val="000D55F8"/>
    <w:rsid w:val="000E1BD0"/>
    <w:rsid w:val="000E284C"/>
    <w:rsid w:val="000E2FBC"/>
    <w:rsid w:val="000E7BA2"/>
    <w:rsid w:val="000F1029"/>
    <w:rsid w:val="000F4975"/>
    <w:rsid w:val="000F7550"/>
    <w:rsid w:val="00102784"/>
    <w:rsid w:val="00103420"/>
    <w:rsid w:val="00104CBB"/>
    <w:rsid w:val="00111212"/>
    <w:rsid w:val="0011295F"/>
    <w:rsid w:val="00112A11"/>
    <w:rsid w:val="00113E01"/>
    <w:rsid w:val="0011620A"/>
    <w:rsid w:val="00120075"/>
    <w:rsid w:val="0012064E"/>
    <w:rsid w:val="001207FD"/>
    <w:rsid w:val="001209A6"/>
    <w:rsid w:val="001239D7"/>
    <w:rsid w:val="00125F2A"/>
    <w:rsid w:val="001272D1"/>
    <w:rsid w:val="00130037"/>
    <w:rsid w:val="00132E87"/>
    <w:rsid w:val="00134330"/>
    <w:rsid w:val="00135FDA"/>
    <w:rsid w:val="0013619E"/>
    <w:rsid w:val="00137CAB"/>
    <w:rsid w:val="00137DBA"/>
    <w:rsid w:val="00137EE4"/>
    <w:rsid w:val="00141F53"/>
    <w:rsid w:val="0014389C"/>
    <w:rsid w:val="00143C8C"/>
    <w:rsid w:val="00144002"/>
    <w:rsid w:val="00150E5D"/>
    <w:rsid w:val="00151CEC"/>
    <w:rsid w:val="001525D6"/>
    <w:rsid w:val="00152F8C"/>
    <w:rsid w:val="001534EA"/>
    <w:rsid w:val="001546DD"/>
    <w:rsid w:val="00156470"/>
    <w:rsid w:val="00160749"/>
    <w:rsid w:val="00161B1B"/>
    <w:rsid w:val="001627AF"/>
    <w:rsid w:val="0016520E"/>
    <w:rsid w:val="00165921"/>
    <w:rsid w:val="00167C08"/>
    <w:rsid w:val="001701B0"/>
    <w:rsid w:val="001729BC"/>
    <w:rsid w:val="00173C6F"/>
    <w:rsid w:val="00174CDE"/>
    <w:rsid w:val="001757B6"/>
    <w:rsid w:val="00175BED"/>
    <w:rsid w:val="00180425"/>
    <w:rsid w:val="00180C7A"/>
    <w:rsid w:val="0018176F"/>
    <w:rsid w:val="00183224"/>
    <w:rsid w:val="00183B02"/>
    <w:rsid w:val="0018477D"/>
    <w:rsid w:val="00186122"/>
    <w:rsid w:val="00186714"/>
    <w:rsid w:val="0018695D"/>
    <w:rsid w:val="00190631"/>
    <w:rsid w:val="00194BA4"/>
    <w:rsid w:val="00194DA3"/>
    <w:rsid w:val="00196FC5"/>
    <w:rsid w:val="001A0ACF"/>
    <w:rsid w:val="001A1631"/>
    <w:rsid w:val="001A19BE"/>
    <w:rsid w:val="001A3A05"/>
    <w:rsid w:val="001A6645"/>
    <w:rsid w:val="001B016B"/>
    <w:rsid w:val="001B2DA0"/>
    <w:rsid w:val="001B34C0"/>
    <w:rsid w:val="001B4F23"/>
    <w:rsid w:val="001C0E87"/>
    <w:rsid w:val="001C4A7E"/>
    <w:rsid w:val="001C6D87"/>
    <w:rsid w:val="001D118D"/>
    <w:rsid w:val="001D227D"/>
    <w:rsid w:val="001D368B"/>
    <w:rsid w:val="001D595B"/>
    <w:rsid w:val="001D6E3F"/>
    <w:rsid w:val="001E0AD2"/>
    <w:rsid w:val="001E1EAB"/>
    <w:rsid w:val="001E29C3"/>
    <w:rsid w:val="001E40D7"/>
    <w:rsid w:val="001E4E2E"/>
    <w:rsid w:val="001E5378"/>
    <w:rsid w:val="001E73AF"/>
    <w:rsid w:val="001E7F30"/>
    <w:rsid w:val="001F1163"/>
    <w:rsid w:val="001F39F2"/>
    <w:rsid w:val="001F6BBD"/>
    <w:rsid w:val="001F7063"/>
    <w:rsid w:val="002000F6"/>
    <w:rsid w:val="002023F1"/>
    <w:rsid w:val="0020313B"/>
    <w:rsid w:val="00204EF7"/>
    <w:rsid w:val="00210A6E"/>
    <w:rsid w:val="00211C34"/>
    <w:rsid w:val="0021299F"/>
    <w:rsid w:val="002153E6"/>
    <w:rsid w:val="00216D64"/>
    <w:rsid w:val="002213BC"/>
    <w:rsid w:val="0022474A"/>
    <w:rsid w:val="002264D8"/>
    <w:rsid w:val="002268AC"/>
    <w:rsid w:val="00232E67"/>
    <w:rsid w:val="00242938"/>
    <w:rsid w:val="00243095"/>
    <w:rsid w:val="00244E6A"/>
    <w:rsid w:val="0024666B"/>
    <w:rsid w:val="00250E15"/>
    <w:rsid w:val="0025125F"/>
    <w:rsid w:val="00252FC6"/>
    <w:rsid w:val="00255F2A"/>
    <w:rsid w:val="00256796"/>
    <w:rsid w:val="002567AA"/>
    <w:rsid w:val="00257258"/>
    <w:rsid w:val="00271B31"/>
    <w:rsid w:val="00272BF4"/>
    <w:rsid w:val="00272D5B"/>
    <w:rsid w:val="00277647"/>
    <w:rsid w:val="002829F1"/>
    <w:rsid w:val="00282CBA"/>
    <w:rsid w:val="00284E4E"/>
    <w:rsid w:val="00291B1B"/>
    <w:rsid w:val="00291F34"/>
    <w:rsid w:val="00294651"/>
    <w:rsid w:val="00297608"/>
    <w:rsid w:val="002978EC"/>
    <w:rsid w:val="002A1363"/>
    <w:rsid w:val="002A339F"/>
    <w:rsid w:val="002B15C5"/>
    <w:rsid w:val="002B2752"/>
    <w:rsid w:val="002B4595"/>
    <w:rsid w:val="002B529B"/>
    <w:rsid w:val="002B6921"/>
    <w:rsid w:val="002B733C"/>
    <w:rsid w:val="002C0266"/>
    <w:rsid w:val="002C0A4A"/>
    <w:rsid w:val="002C0BC1"/>
    <w:rsid w:val="002C18AC"/>
    <w:rsid w:val="002C2952"/>
    <w:rsid w:val="002C4388"/>
    <w:rsid w:val="002C4850"/>
    <w:rsid w:val="002C4983"/>
    <w:rsid w:val="002C5658"/>
    <w:rsid w:val="002D2BB5"/>
    <w:rsid w:val="002D3B54"/>
    <w:rsid w:val="002F1302"/>
    <w:rsid w:val="002F43E0"/>
    <w:rsid w:val="002F5982"/>
    <w:rsid w:val="002F72F6"/>
    <w:rsid w:val="002F7650"/>
    <w:rsid w:val="0030098D"/>
    <w:rsid w:val="00304ADC"/>
    <w:rsid w:val="00306351"/>
    <w:rsid w:val="00307337"/>
    <w:rsid w:val="00311899"/>
    <w:rsid w:val="00314B07"/>
    <w:rsid w:val="0031619E"/>
    <w:rsid w:val="00316C1E"/>
    <w:rsid w:val="0031734A"/>
    <w:rsid w:val="003216E7"/>
    <w:rsid w:val="00324422"/>
    <w:rsid w:val="003249D7"/>
    <w:rsid w:val="00330070"/>
    <w:rsid w:val="00331240"/>
    <w:rsid w:val="0033376A"/>
    <w:rsid w:val="003338A1"/>
    <w:rsid w:val="0033526A"/>
    <w:rsid w:val="003375D5"/>
    <w:rsid w:val="00337876"/>
    <w:rsid w:val="003447C1"/>
    <w:rsid w:val="00350354"/>
    <w:rsid w:val="00351777"/>
    <w:rsid w:val="00351E8A"/>
    <w:rsid w:val="00354AA7"/>
    <w:rsid w:val="00355947"/>
    <w:rsid w:val="003560C1"/>
    <w:rsid w:val="00361DA7"/>
    <w:rsid w:val="0036363D"/>
    <w:rsid w:val="00371C61"/>
    <w:rsid w:val="00372CC3"/>
    <w:rsid w:val="00374BB2"/>
    <w:rsid w:val="0037576B"/>
    <w:rsid w:val="003766CF"/>
    <w:rsid w:val="003801C8"/>
    <w:rsid w:val="00382DC3"/>
    <w:rsid w:val="00385474"/>
    <w:rsid w:val="00392412"/>
    <w:rsid w:val="00393037"/>
    <w:rsid w:val="0039457E"/>
    <w:rsid w:val="00395991"/>
    <w:rsid w:val="003960CC"/>
    <w:rsid w:val="003A2132"/>
    <w:rsid w:val="003A5F58"/>
    <w:rsid w:val="003A63D8"/>
    <w:rsid w:val="003A791C"/>
    <w:rsid w:val="003B06D9"/>
    <w:rsid w:val="003B0E09"/>
    <w:rsid w:val="003B121C"/>
    <w:rsid w:val="003B17D5"/>
    <w:rsid w:val="003B481C"/>
    <w:rsid w:val="003B5C7B"/>
    <w:rsid w:val="003C0ED2"/>
    <w:rsid w:val="003C1CF6"/>
    <w:rsid w:val="003C595E"/>
    <w:rsid w:val="003C5B74"/>
    <w:rsid w:val="003D10B8"/>
    <w:rsid w:val="003D136A"/>
    <w:rsid w:val="003D1B7F"/>
    <w:rsid w:val="003D3BB2"/>
    <w:rsid w:val="003D567E"/>
    <w:rsid w:val="003D7A7A"/>
    <w:rsid w:val="003D7BE1"/>
    <w:rsid w:val="003D7FC3"/>
    <w:rsid w:val="003E2482"/>
    <w:rsid w:val="003E322E"/>
    <w:rsid w:val="003E5C40"/>
    <w:rsid w:val="003E78B8"/>
    <w:rsid w:val="003E7BCB"/>
    <w:rsid w:val="003E7CE3"/>
    <w:rsid w:val="003F1843"/>
    <w:rsid w:val="003F20DE"/>
    <w:rsid w:val="003F3D88"/>
    <w:rsid w:val="003F43E6"/>
    <w:rsid w:val="00400F2C"/>
    <w:rsid w:val="0040119B"/>
    <w:rsid w:val="00407828"/>
    <w:rsid w:val="00411542"/>
    <w:rsid w:val="004129BF"/>
    <w:rsid w:val="00412D78"/>
    <w:rsid w:val="00412DE8"/>
    <w:rsid w:val="004145E3"/>
    <w:rsid w:val="00416C09"/>
    <w:rsid w:val="00417679"/>
    <w:rsid w:val="00417BDE"/>
    <w:rsid w:val="00417DA2"/>
    <w:rsid w:val="00423800"/>
    <w:rsid w:val="00423E96"/>
    <w:rsid w:val="00426C7E"/>
    <w:rsid w:val="0043073A"/>
    <w:rsid w:val="0043374D"/>
    <w:rsid w:val="00437C0D"/>
    <w:rsid w:val="0044029E"/>
    <w:rsid w:val="004426C4"/>
    <w:rsid w:val="00442AA8"/>
    <w:rsid w:val="004447A8"/>
    <w:rsid w:val="00445B53"/>
    <w:rsid w:val="004477EE"/>
    <w:rsid w:val="00454672"/>
    <w:rsid w:val="004549A6"/>
    <w:rsid w:val="00455C9F"/>
    <w:rsid w:val="00462D9F"/>
    <w:rsid w:val="004635C1"/>
    <w:rsid w:val="00464478"/>
    <w:rsid w:val="004726B0"/>
    <w:rsid w:val="004726FF"/>
    <w:rsid w:val="00474C0B"/>
    <w:rsid w:val="00474C36"/>
    <w:rsid w:val="00474EF5"/>
    <w:rsid w:val="00477327"/>
    <w:rsid w:val="00482FA4"/>
    <w:rsid w:val="00487810"/>
    <w:rsid w:val="00487BB4"/>
    <w:rsid w:val="004908B0"/>
    <w:rsid w:val="00491DE3"/>
    <w:rsid w:val="00492C34"/>
    <w:rsid w:val="00494976"/>
    <w:rsid w:val="004964E5"/>
    <w:rsid w:val="004A01BE"/>
    <w:rsid w:val="004A3088"/>
    <w:rsid w:val="004A6C3D"/>
    <w:rsid w:val="004B1287"/>
    <w:rsid w:val="004B1492"/>
    <w:rsid w:val="004B37AF"/>
    <w:rsid w:val="004B4600"/>
    <w:rsid w:val="004B635B"/>
    <w:rsid w:val="004B63B3"/>
    <w:rsid w:val="004C3203"/>
    <w:rsid w:val="004C38CD"/>
    <w:rsid w:val="004D6C2B"/>
    <w:rsid w:val="004D7AD7"/>
    <w:rsid w:val="004E0BA1"/>
    <w:rsid w:val="004E0E98"/>
    <w:rsid w:val="004E13F3"/>
    <w:rsid w:val="004E2900"/>
    <w:rsid w:val="004E400D"/>
    <w:rsid w:val="004F08FB"/>
    <w:rsid w:val="004F2216"/>
    <w:rsid w:val="004F3902"/>
    <w:rsid w:val="004F7F5A"/>
    <w:rsid w:val="005027C9"/>
    <w:rsid w:val="005032CF"/>
    <w:rsid w:val="0050481C"/>
    <w:rsid w:val="00505C52"/>
    <w:rsid w:val="005165FB"/>
    <w:rsid w:val="00520DAB"/>
    <w:rsid w:val="0052441D"/>
    <w:rsid w:val="005338DB"/>
    <w:rsid w:val="00533A65"/>
    <w:rsid w:val="00534875"/>
    <w:rsid w:val="005351CC"/>
    <w:rsid w:val="005363FB"/>
    <w:rsid w:val="00537291"/>
    <w:rsid w:val="00543F07"/>
    <w:rsid w:val="005479DE"/>
    <w:rsid w:val="00547F6B"/>
    <w:rsid w:val="00550A96"/>
    <w:rsid w:val="00554361"/>
    <w:rsid w:val="00554D21"/>
    <w:rsid w:val="00554EA4"/>
    <w:rsid w:val="00561E06"/>
    <w:rsid w:val="005628B5"/>
    <w:rsid w:val="00567151"/>
    <w:rsid w:val="00567677"/>
    <w:rsid w:val="00570FDA"/>
    <w:rsid w:val="0057154D"/>
    <w:rsid w:val="00572DBB"/>
    <w:rsid w:val="005730EC"/>
    <w:rsid w:val="00575D71"/>
    <w:rsid w:val="005775CC"/>
    <w:rsid w:val="005807F1"/>
    <w:rsid w:val="00581F20"/>
    <w:rsid w:val="0058347A"/>
    <w:rsid w:val="00583FB3"/>
    <w:rsid w:val="005843CD"/>
    <w:rsid w:val="0058651A"/>
    <w:rsid w:val="00590B6B"/>
    <w:rsid w:val="005A00BF"/>
    <w:rsid w:val="005A00DF"/>
    <w:rsid w:val="005A02D2"/>
    <w:rsid w:val="005A22DF"/>
    <w:rsid w:val="005A4A78"/>
    <w:rsid w:val="005B0214"/>
    <w:rsid w:val="005B3F18"/>
    <w:rsid w:val="005B4010"/>
    <w:rsid w:val="005B5D6C"/>
    <w:rsid w:val="005C075F"/>
    <w:rsid w:val="005C164F"/>
    <w:rsid w:val="005C1748"/>
    <w:rsid w:val="005C3852"/>
    <w:rsid w:val="005C3DA9"/>
    <w:rsid w:val="005C3F2F"/>
    <w:rsid w:val="005C6576"/>
    <w:rsid w:val="005D0FF0"/>
    <w:rsid w:val="005D15A7"/>
    <w:rsid w:val="005D4F0C"/>
    <w:rsid w:val="005E0180"/>
    <w:rsid w:val="005E18F4"/>
    <w:rsid w:val="005E206A"/>
    <w:rsid w:val="005E387C"/>
    <w:rsid w:val="005E449F"/>
    <w:rsid w:val="005E71A0"/>
    <w:rsid w:val="005F251B"/>
    <w:rsid w:val="005F2960"/>
    <w:rsid w:val="005F30E7"/>
    <w:rsid w:val="005F3E5F"/>
    <w:rsid w:val="005F5F96"/>
    <w:rsid w:val="005F69C5"/>
    <w:rsid w:val="005F6DFE"/>
    <w:rsid w:val="006005F6"/>
    <w:rsid w:val="0060137C"/>
    <w:rsid w:val="00601534"/>
    <w:rsid w:val="00604ABB"/>
    <w:rsid w:val="006054BC"/>
    <w:rsid w:val="00607F0B"/>
    <w:rsid w:val="00615868"/>
    <w:rsid w:val="0062100E"/>
    <w:rsid w:val="00621D32"/>
    <w:rsid w:val="00622E6D"/>
    <w:rsid w:val="00625DE9"/>
    <w:rsid w:val="006273E2"/>
    <w:rsid w:val="00627C84"/>
    <w:rsid w:val="00632AD3"/>
    <w:rsid w:val="00634488"/>
    <w:rsid w:val="006357F9"/>
    <w:rsid w:val="00635AFA"/>
    <w:rsid w:val="00636D1E"/>
    <w:rsid w:val="00647BAD"/>
    <w:rsid w:val="006528F3"/>
    <w:rsid w:val="00653E90"/>
    <w:rsid w:val="00654671"/>
    <w:rsid w:val="0065738E"/>
    <w:rsid w:val="00661B37"/>
    <w:rsid w:val="00664587"/>
    <w:rsid w:val="00670695"/>
    <w:rsid w:val="00675194"/>
    <w:rsid w:val="006809A0"/>
    <w:rsid w:val="00686E4B"/>
    <w:rsid w:val="0069310C"/>
    <w:rsid w:val="00693455"/>
    <w:rsid w:val="00693BF6"/>
    <w:rsid w:val="00694AA8"/>
    <w:rsid w:val="00694FAD"/>
    <w:rsid w:val="0069610D"/>
    <w:rsid w:val="006A37CF"/>
    <w:rsid w:val="006A5190"/>
    <w:rsid w:val="006A607E"/>
    <w:rsid w:val="006B0117"/>
    <w:rsid w:val="006B1ABB"/>
    <w:rsid w:val="006B32C8"/>
    <w:rsid w:val="006B3692"/>
    <w:rsid w:val="006C0663"/>
    <w:rsid w:val="006C0E74"/>
    <w:rsid w:val="006C0ED1"/>
    <w:rsid w:val="006C4DE6"/>
    <w:rsid w:val="006C5A4A"/>
    <w:rsid w:val="006D022B"/>
    <w:rsid w:val="006D37D0"/>
    <w:rsid w:val="006D47F6"/>
    <w:rsid w:val="006D5E8A"/>
    <w:rsid w:val="006D77B9"/>
    <w:rsid w:val="006E0977"/>
    <w:rsid w:val="006E108C"/>
    <w:rsid w:val="006E1278"/>
    <w:rsid w:val="006E321D"/>
    <w:rsid w:val="006E3586"/>
    <w:rsid w:val="006E4D51"/>
    <w:rsid w:val="006E5420"/>
    <w:rsid w:val="006E6EEB"/>
    <w:rsid w:val="006F10FB"/>
    <w:rsid w:val="006F2AAB"/>
    <w:rsid w:val="006F2CC7"/>
    <w:rsid w:val="006F61FD"/>
    <w:rsid w:val="006F6244"/>
    <w:rsid w:val="006F6F3B"/>
    <w:rsid w:val="00701AF2"/>
    <w:rsid w:val="00703CC9"/>
    <w:rsid w:val="0070453E"/>
    <w:rsid w:val="00705879"/>
    <w:rsid w:val="007058D9"/>
    <w:rsid w:val="007058DA"/>
    <w:rsid w:val="00706576"/>
    <w:rsid w:val="0071002F"/>
    <w:rsid w:val="0071009F"/>
    <w:rsid w:val="00710C91"/>
    <w:rsid w:val="007113D4"/>
    <w:rsid w:val="0071176A"/>
    <w:rsid w:val="00713659"/>
    <w:rsid w:val="007145EE"/>
    <w:rsid w:val="00720634"/>
    <w:rsid w:val="00721D95"/>
    <w:rsid w:val="00733EA7"/>
    <w:rsid w:val="007344CF"/>
    <w:rsid w:val="00737909"/>
    <w:rsid w:val="0074499A"/>
    <w:rsid w:val="00746B27"/>
    <w:rsid w:val="007509DE"/>
    <w:rsid w:val="007530CB"/>
    <w:rsid w:val="00753DCC"/>
    <w:rsid w:val="00754B3E"/>
    <w:rsid w:val="007561E0"/>
    <w:rsid w:val="00757361"/>
    <w:rsid w:val="007615A9"/>
    <w:rsid w:val="00763E86"/>
    <w:rsid w:val="0076606C"/>
    <w:rsid w:val="00770FAD"/>
    <w:rsid w:val="007729BA"/>
    <w:rsid w:val="00773FDB"/>
    <w:rsid w:val="0077556E"/>
    <w:rsid w:val="00775593"/>
    <w:rsid w:val="007809A4"/>
    <w:rsid w:val="0078663F"/>
    <w:rsid w:val="00786B0B"/>
    <w:rsid w:val="00787AE3"/>
    <w:rsid w:val="00792186"/>
    <w:rsid w:val="0079508A"/>
    <w:rsid w:val="0079526E"/>
    <w:rsid w:val="00795965"/>
    <w:rsid w:val="0079674F"/>
    <w:rsid w:val="007A2365"/>
    <w:rsid w:val="007A4D15"/>
    <w:rsid w:val="007B0C4D"/>
    <w:rsid w:val="007B2A07"/>
    <w:rsid w:val="007B4E06"/>
    <w:rsid w:val="007B7557"/>
    <w:rsid w:val="007C0858"/>
    <w:rsid w:val="007C34DE"/>
    <w:rsid w:val="007C57FE"/>
    <w:rsid w:val="007C60D5"/>
    <w:rsid w:val="007C73DB"/>
    <w:rsid w:val="007C74C0"/>
    <w:rsid w:val="007C7741"/>
    <w:rsid w:val="007D0420"/>
    <w:rsid w:val="007D1990"/>
    <w:rsid w:val="007D2E7B"/>
    <w:rsid w:val="007E21ED"/>
    <w:rsid w:val="007E435A"/>
    <w:rsid w:val="007E5786"/>
    <w:rsid w:val="007E5D5C"/>
    <w:rsid w:val="007E70FD"/>
    <w:rsid w:val="007F0F19"/>
    <w:rsid w:val="007F15A6"/>
    <w:rsid w:val="007F3E0B"/>
    <w:rsid w:val="007F4618"/>
    <w:rsid w:val="007F5590"/>
    <w:rsid w:val="007F5F54"/>
    <w:rsid w:val="007F7D53"/>
    <w:rsid w:val="00800C81"/>
    <w:rsid w:val="00801530"/>
    <w:rsid w:val="00802D2B"/>
    <w:rsid w:val="00807239"/>
    <w:rsid w:val="00807833"/>
    <w:rsid w:val="00807993"/>
    <w:rsid w:val="00807BF2"/>
    <w:rsid w:val="00811ED2"/>
    <w:rsid w:val="00812CFA"/>
    <w:rsid w:val="00817C02"/>
    <w:rsid w:val="00824DD0"/>
    <w:rsid w:val="00825535"/>
    <w:rsid w:val="00825859"/>
    <w:rsid w:val="008305F2"/>
    <w:rsid w:val="0083144B"/>
    <w:rsid w:val="00831FBE"/>
    <w:rsid w:val="00832F86"/>
    <w:rsid w:val="00833005"/>
    <w:rsid w:val="008343D5"/>
    <w:rsid w:val="00834BB4"/>
    <w:rsid w:val="008367AB"/>
    <w:rsid w:val="00844D15"/>
    <w:rsid w:val="00844DF1"/>
    <w:rsid w:val="00844E27"/>
    <w:rsid w:val="00850C5E"/>
    <w:rsid w:val="008514D1"/>
    <w:rsid w:val="00852F6C"/>
    <w:rsid w:val="008535E8"/>
    <w:rsid w:val="0085453B"/>
    <w:rsid w:val="00854E0B"/>
    <w:rsid w:val="008576B4"/>
    <w:rsid w:val="0086229B"/>
    <w:rsid w:val="00862A9C"/>
    <w:rsid w:val="008631E0"/>
    <w:rsid w:val="00864A2B"/>
    <w:rsid w:val="00865218"/>
    <w:rsid w:val="0087082E"/>
    <w:rsid w:val="00871BB4"/>
    <w:rsid w:val="00873E80"/>
    <w:rsid w:val="0087535D"/>
    <w:rsid w:val="008764FC"/>
    <w:rsid w:val="00876C98"/>
    <w:rsid w:val="00877ED5"/>
    <w:rsid w:val="0088177B"/>
    <w:rsid w:val="00882FF6"/>
    <w:rsid w:val="008907BE"/>
    <w:rsid w:val="00891EF8"/>
    <w:rsid w:val="0089211D"/>
    <w:rsid w:val="00892362"/>
    <w:rsid w:val="00892EE4"/>
    <w:rsid w:val="00893E38"/>
    <w:rsid w:val="00897399"/>
    <w:rsid w:val="00897645"/>
    <w:rsid w:val="008A005A"/>
    <w:rsid w:val="008A0A14"/>
    <w:rsid w:val="008A2208"/>
    <w:rsid w:val="008A33C9"/>
    <w:rsid w:val="008B149C"/>
    <w:rsid w:val="008B1A99"/>
    <w:rsid w:val="008B3559"/>
    <w:rsid w:val="008B3DF5"/>
    <w:rsid w:val="008B72B3"/>
    <w:rsid w:val="008C0199"/>
    <w:rsid w:val="008C1F3C"/>
    <w:rsid w:val="008C2124"/>
    <w:rsid w:val="008C22EE"/>
    <w:rsid w:val="008D0AB4"/>
    <w:rsid w:val="008D3FB3"/>
    <w:rsid w:val="008D7605"/>
    <w:rsid w:val="008E2365"/>
    <w:rsid w:val="008E2D3D"/>
    <w:rsid w:val="008E3251"/>
    <w:rsid w:val="008E3B91"/>
    <w:rsid w:val="008E3CB6"/>
    <w:rsid w:val="008E4E57"/>
    <w:rsid w:val="008E60D6"/>
    <w:rsid w:val="008E6349"/>
    <w:rsid w:val="008F403C"/>
    <w:rsid w:val="008F4840"/>
    <w:rsid w:val="008F5B7E"/>
    <w:rsid w:val="008F6946"/>
    <w:rsid w:val="00906CDC"/>
    <w:rsid w:val="00910B0F"/>
    <w:rsid w:val="00913806"/>
    <w:rsid w:val="00913CAD"/>
    <w:rsid w:val="0091474F"/>
    <w:rsid w:val="00915A77"/>
    <w:rsid w:val="0092162E"/>
    <w:rsid w:val="00922F17"/>
    <w:rsid w:val="0092318E"/>
    <w:rsid w:val="009238B8"/>
    <w:rsid w:val="00923E9C"/>
    <w:rsid w:val="009242E9"/>
    <w:rsid w:val="0092722C"/>
    <w:rsid w:val="009318E9"/>
    <w:rsid w:val="00932E70"/>
    <w:rsid w:val="00932F5C"/>
    <w:rsid w:val="00937821"/>
    <w:rsid w:val="00940ADC"/>
    <w:rsid w:val="00941FB0"/>
    <w:rsid w:val="0094300B"/>
    <w:rsid w:val="00943150"/>
    <w:rsid w:val="00947EFA"/>
    <w:rsid w:val="009513EE"/>
    <w:rsid w:val="00951540"/>
    <w:rsid w:val="00961756"/>
    <w:rsid w:val="00961D68"/>
    <w:rsid w:val="0096401A"/>
    <w:rsid w:val="00966BDD"/>
    <w:rsid w:val="00971005"/>
    <w:rsid w:val="00972D5B"/>
    <w:rsid w:val="00974167"/>
    <w:rsid w:val="00975A24"/>
    <w:rsid w:val="009779DA"/>
    <w:rsid w:val="00980753"/>
    <w:rsid w:val="00980F08"/>
    <w:rsid w:val="00981B80"/>
    <w:rsid w:val="009835B8"/>
    <w:rsid w:val="009835D9"/>
    <w:rsid w:val="00985569"/>
    <w:rsid w:val="0098750E"/>
    <w:rsid w:val="00987C8F"/>
    <w:rsid w:val="00990232"/>
    <w:rsid w:val="00991023"/>
    <w:rsid w:val="009969F7"/>
    <w:rsid w:val="00996B6B"/>
    <w:rsid w:val="009A37B5"/>
    <w:rsid w:val="009A4298"/>
    <w:rsid w:val="009A58BC"/>
    <w:rsid w:val="009A5DFB"/>
    <w:rsid w:val="009A6EBC"/>
    <w:rsid w:val="009A7F37"/>
    <w:rsid w:val="009B3DA7"/>
    <w:rsid w:val="009B44FC"/>
    <w:rsid w:val="009B5386"/>
    <w:rsid w:val="009C1087"/>
    <w:rsid w:val="009C1E26"/>
    <w:rsid w:val="009C40B8"/>
    <w:rsid w:val="009C6C38"/>
    <w:rsid w:val="009D4828"/>
    <w:rsid w:val="009D554A"/>
    <w:rsid w:val="009D5DA4"/>
    <w:rsid w:val="009E04C6"/>
    <w:rsid w:val="009E07DF"/>
    <w:rsid w:val="009E0B49"/>
    <w:rsid w:val="009E0B72"/>
    <w:rsid w:val="009E2B78"/>
    <w:rsid w:val="009E2F90"/>
    <w:rsid w:val="009E33BC"/>
    <w:rsid w:val="009E383C"/>
    <w:rsid w:val="009E3D49"/>
    <w:rsid w:val="009E5A41"/>
    <w:rsid w:val="009E6E70"/>
    <w:rsid w:val="009F0D63"/>
    <w:rsid w:val="009F7637"/>
    <w:rsid w:val="009F7824"/>
    <w:rsid w:val="009F7B94"/>
    <w:rsid w:val="00A01772"/>
    <w:rsid w:val="00A02718"/>
    <w:rsid w:val="00A039FD"/>
    <w:rsid w:val="00A04B2A"/>
    <w:rsid w:val="00A053E9"/>
    <w:rsid w:val="00A05664"/>
    <w:rsid w:val="00A065DF"/>
    <w:rsid w:val="00A06F04"/>
    <w:rsid w:val="00A07000"/>
    <w:rsid w:val="00A077D2"/>
    <w:rsid w:val="00A102EA"/>
    <w:rsid w:val="00A10672"/>
    <w:rsid w:val="00A1198F"/>
    <w:rsid w:val="00A119F6"/>
    <w:rsid w:val="00A13EB6"/>
    <w:rsid w:val="00A16708"/>
    <w:rsid w:val="00A17ABD"/>
    <w:rsid w:val="00A203B3"/>
    <w:rsid w:val="00A2082D"/>
    <w:rsid w:val="00A23549"/>
    <w:rsid w:val="00A278C9"/>
    <w:rsid w:val="00A364F7"/>
    <w:rsid w:val="00A37800"/>
    <w:rsid w:val="00A37C28"/>
    <w:rsid w:val="00A37E4D"/>
    <w:rsid w:val="00A4168E"/>
    <w:rsid w:val="00A45400"/>
    <w:rsid w:val="00A458F4"/>
    <w:rsid w:val="00A45DFC"/>
    <w:rsid w:val="00A47D46"/>
    <w:rsid w:val="00A50193"/>
    <w:rsid w:val="00A530DA"/>
    <w:rsid w:val="00A56085"/>
    <w:rsid w:val="00A61ECA"/>
    <w:rsid w:val="00A62AD7"/>
    <w:rsid w:val="00A63D0D"/>
    <w:rsid w:val="00A657C5"/>
    <w:rsid w:val="00A66238"/>
    <w:rsid w:val="00A7317F"/>
    <w:rsid w:val="00A74D30"/>
    <w:rsid w:val="00A7642C"/>
    <w:rsid w:val="00A77BD7"/>
    <w:rsid w:val="00A862D6"/>
    <w:rsid w:val="00A90CCE"/>
    <w:rsid w:val="00A95C6C"/>
    <w:rsid w:val="00AA0694"/>
    <w:rsid w:val="00AA17E8"/>
    <w:rsid w:val="00AA4C69"/>
    <w:rsid w:val="00AA65A4"/>
    <w:rsid w:val="00AA7CA2"/>
    <w:rsid w:val="00AB4E31"/>
    <w:rsid w:val="00AB7C11"/>
    <w:rsid w:val="00AC10E3"/>
    <w:rsid w:val="00AC1872"/>
    <w:rsid w:val="00AC29BC"/>
    <w:rsid w:val="00AC353D"/>
    <w:rsid w:val="00AC4B85"/>
    <w:rsid w:val="00AC55BB"/>
    <w:rsid w:val="00AC61F8"/>
    <w:rsid w:val="00AC67A7"/>
    <w:rsid w:val="00AC7017"/>
    <w:rsid w:val="00AD04DB"/>
    <w:rsid w:val="00AD3524"/>
    <w:rsid w:val="00AD3B5F"/>
    <w:rsid w:val="00AD5423"/>
    <w:rsid w:val="00AD5D27"/>
    <w:rsid w:val="00AD73F4"/>
    <w:rsid w:val="00AE0607"/>
    <w:rsid w:val="00AF0DE7"/>
    <w:rsid w:val="00AF1D21"/>
    <w:rsid w:val="00AF2104"/>
    <w:rsid w:val="00AF367A"/>
    <w:rsid w:val="00AF3694"/>
    <w:rsid w:val="00AF375F"/>
    <w:rsid w:val="00AF40C8"/>
    <w:rsid w:val="00AF5719"/>
    <w:rsid w:val="00AF5C53"/>
    <w:rsid w:val="00AF5F96"/>
    <w:rsid w:val="00AF67BF"/>
    <w:rsid w:val="00B024BC"/>
    <w:rsid w:val="00B05523"/>
    <w:rsid w:val="00B059AC"/>
    <w:rsid w:val="00B071D8"/>
    <w:rsid w:val="00B1249F"/>
    <w:rsid w:val="00B130D0"/>
    <w:rsid w:val="00B15E0F"/>
    <w:rsid w:val="00B2026C"/>
    <w:rsid w:val="00B206BC"/>
    <w:rsid w:val="00B23125"/>
    <w:rsid w:val="00B24428"/>
    <w:rsid w:val="00B248EF"/>
    <w:rsid w:val="00B270C3"/>
    <w:rsid w:val="00B27789"/>
    <w:rsid w:val="00B31AC7"/>
    <w:rsid w:val="00B327B0"/>
    <w:rsid w:val="00B41850"/>
    <w:rsid w:val="00B41A3D"/>
    <w:rsid w:val="00B42C06"/>
    <w:rsid w:val="00B446D4"/>
    <w:rsid w:val="00B50774"/>
    <w:rsid w:val="00B513D4"/>
    <w:rsid w:val="00B5170F"/>
    <w:rsid w:val="00B578B5"/>
    <w:rsid w:val="00B60869"/>
    <w:rsid w:val="00B60D00"/>
    <w:rsid w:val="00B618F8"/>
    <w:rsid w:val="00B619EB"/>
    <w:rsid w:val="00B65DAB"/>
    <w:rsid w:val="00B65F94"/>
    <w:rsid w:val="00B65FE8"/>
    <w:rsid w:val="00B72D06"/>
    <w:rsid w:val="00B775FA"/>
    <w:rsid w:val="00B822FA"/>
    <w:rsid w:val="00B866FD"/>
    <w:rsid w:val="00B9403C"/>
    <w:rsid w:val="00B94FB5"/>
    <w:rsid w:val="00B9543C"/>
    <w:rsid w:val="00B95D7D"/>
    <w:rsid w:val="00B96AFB"/>
    <w:rsid w:val="00B96FB5"/>
    <w:rsid w:val="00B97735"/>
    <w:rsid w:val="00BA36E9"/>
    <w:rsid w:val="00BA49C9"/>
    <w:rsid w:val="00BA61AF"/>
    <w:rsid w:val="00BA6CB7"/>
    <w:rsid w:val="00BA7D47"/>
    <w:rsid w:val="00BB4057"/>
    <w:rsid w:val="00BB52D1"/>
    <w:rsid w:val="00BB6020"/>
    <w:rsid w:val="00BB6FF5"/>
    <w:rsid w:val="00BB73F2"/>
    <w:rsid w:val="00BB7B98"/>
    <w:rsid w:val="00BC5F02"/>
    <w:rsid w:val="00BC6CEF"/>
    <w:rsid w:val="00BC7EA3"/>
    <w:rsid w:val="00BD2303"/>
    <w:rsid w:val="00BD258F"/>
    <w:rsid w:val="00BD33D3"/>
    <w:rsid w:val="00BD78DB"/>
    <w:rsid w:val="00BE0560"/>
    <w:rsid w:val="00BE31F3"/>
    <w:rsid w:val="00BE349D"/>
    <w:rsid w:val="00BE7486"/>
    <w:rsid w:val="00BE7FF0"/>
    <w:rsid w:val="00BF127C"/>
    <w:rsid w:val="00BF344C"/>
    <w:rsid w:val="00BF610B"/>
    <w:rsid w:val="00BF70D2"/>
    <w:rsid w:val="00BF740B"/>
    <w:rsid w:val="00BF7EF2"/>
    <w:rsid w:val="00C01FA4"/>
    <w:rsid w:val="00C02E41"/>
    <w:rsid w:val="00C04D03"/>
    <w:rsid w:val="00C053B0"/>
    <w:rsid w:val="00C07417"/>
    <w:rsid w:val="00C13CBF"/>
    <w:rsid w:val="00C14A4D"/>
    <w:rsid w:val="00C15577"/>
    <w:rsid w:val="00C2033C"/>
    <w:rsid w:val="00C21FEF"/>
    <w:rsid w:val="00C22FA5"/>
    <w:rsid w:val="00C3221C"/>
    <w:rsid w:val="00C32E35"/>
    <w:rsid w:val="00C36388"/>
    <w:rsid w:val="00C40D7F"/>
    <w:rsid w:val="00C41221"/>
    <w:rsid w:val="00C412A9"/>
    <w:rsid w:val="00C43772"/>
    <w:rsid w:val="00C43DE6"/>
    <w:rsid w:val="00C4506D"/>
    <w:rsid w:val="00C46F16"/>
    <w:rsid w:val="00C52416"/>
    <w:rsid w:val="00C529D7"/>
    <w:rsid w:val="00C54029"/>
    <w:rsid w:val="00C55404"/>
    <w:rsid w:val="00C5650E"/>
    <w:rsid w:val="00C57873"/>
    <w:rsid w:val="00C646FD"/>
    <w:rsid w:val="00C7021B"/>
    <w:rsid w:val="00C706DC"/>
    <w:rsid w:val="00C71BA7"/>
    <w:rsid w:val="00C71E39"/>
    <w:rsid w:val="00C7226A"/>
    <w:rsid w:val="00C77184"/>
    <w:rsid w:val="00C807BD"/>
    <w:rsid w:val="00C8156D"/>
    <w:rsid w:val="00C85B3B"/>
    <w:rsid w:val="00C87FE2"/>
    <w:rsid w:val="00C90C0C"/>
    <w:rsid w:val="00C95C87"/>
    <w:rsid w:val="00C95EA9"/>
    <w:rsid w:val="00C96FAC"/>
    <w:rsid w:val="00CA67B5"/>
    <w:rsid w:val="00CA6C36"/>
    <w:rsid w:val="00CB4032"/>
    <w:rsid w:val="00CB6C4E"/>
    <w:rsid w:val="00CB7797"/>
    <w:rsid w:val="00CD43CD"/>
    <w:rsid w:val="00CD4F81"/>
    <w:rsid w:val="00CD5071"/>
    <w:rsid w:val="00CD6224"/>
    <w:rsid w:val="00CD772C"/>
    <w:rsid w:val="00CE14E3"/>
    <w:rsid w:val="00CE5B4D"/>
    <w:rsid w:val="00CE5BA1"/>
    <w:rsid w:val="00CE5FDD"/>
    <w:rsid w:val="00CE7E9A"/>
    <w:rsid w:val="00CF3E05"/>
    <w:rsid w:val="00CF4072"/>
    <w:rsid w:val="00D0045B"/>
    <w:rsid w:val="00D059BB"/>
    <w:rsid w:val="00D0665D"/>
    <w:rsid w:val="00D06EBB"/>
    <w:rsid w:val="00D0757D"/>
    <w:rsid w:val="00D07893"/>
    <w:rsid w:val="00D120B9"/>
    <w:rsid w:val="00D120E5"/>
    <w:rsid w:val="00D156A7"/>
    <w:rsid w:val="00D23CC4"/>
    <w:rsid w:val="00D244BB"/>
    <w:rsid w:val="00D26B85"/>
    <w:rsid w:val="00D305CB"/>
    <w:rsid w:val="00D31BDA"/>
    <w:rsid w:val="00D31F0C"/>
    <w:rsid w:val="00D32B81"/>
    <w:rsid w:val="00D32E61"/>
    <w:rsid w:val="00D36182"/>
    <w:rsid w:val="00D37A75"/>
    <w:rsid w:val="00D400D5"/>
    <w:rsid w:val="00D42528"/>
    <w:rsid w:val="00D42584"/>
    <w:rsid w:val="00D44430"/>
    <w:rsid w:val="00D446D1"/>
    <w:rsid w:val="00D45410"/>
    <w:rsid w:val="00D463B3"/>
    <w:rsid w:val="00D47318"/>
    <w:rsid w:val="00D51093"/>
    <w:rsid w:val="00D53445"/>
    <w:rsid w:val="00D53C57"/>
    <w:rsid w:val="00D548AE"/>
    <w:rsid w:val="00D5561B"/>
    <w:rsid w:val="00D56736"/>
    <w:rsid w:val="00D6087D"/>
    <w:rsid w:val="00D60D3B"/>
    <w:rsid w:val="00D63470"/>
    <w:rsid w:val="00D6417C"/>
    <w:rsid w:val="00D647A7"/>
    <w:rsid w:val="00D66369"/>
    <w:rsid w:val="00D66D0A"/>
    <w:rsid w:val="00D670CC"/>
    <w:rsid w:val="00D714EC"/>
    <w:rsid w:val="00D768A9"/>
    <w:rsid w:val="00D76FE2"/>
    <w:rsid w:val="00D80C57"/>
    <w:rsid w:val="00D81659"/>
    <w:rsid w:val="00D81763"/>
    <w:rsid w:val="00D82C29"/>
    <w:rsid w:val="00D83275"/>
    <w:rsid w:val="00D84993"/>
    <w:rsid w:val="00D855C8"/>
    <w:rsid w:val="00D86623"/>
    <w:rsid w:val="00D903CD"/>
    <w:rsid w:val="00D920B2"/>
    <w:rsid w:val="00D92298"/>
    <w:rsid w:val="00D945BB"/>
    <w:rsid w:val="00DA0513"/>
    <w:rsid w:val="00DA4B48"/>
    <w:rsid w:val="00DA4C30"/>
    <w:rsid w:val="00DA642E"/>
    <w:rsid w:val="00DA68FA"/>
    <w:rsid w:val="00DB2D75"/>
    <w:rsid w:val="00DB382D"/>
    <w:rsid w:val="00DB3EEA"/>
    <w:rsid w:val="00DB73F3"/>
    <w:rsid w:val="00DB7E62"/>
    <w:rsid w:val="00DC0C39"/>
    <w:rsid w:val="00DC2665"/>
    <w:rsid w:val="00DD0C57"/>
    <w:rsid w:val="00DD0C66"/>
    <w:rsid w:val="00DD2809"/>
    <w:rsid w:val="00DD41E0"/>
    <w:rsid w:val="00DD7F5C"/>
    <w:rsid w:val="00DE0F55"/>
    <w:rsid w:val="00DE144B"/>
    <w:rsid w:val="00DE6CCF"/>
    <w:rsid w:val="00DE754B"/>
    <w:rsid w:val="00DF22AE"/>
    <w:rsid w:val="00DF25AC"/>
    <w:rsid w:val="00DF37C5"/>
    <w:rsid w:val="00DF5D7C"/>
    <w:rsid w:val="00DF7527"/>
    <w:rsid w:val="00E01954"/>
    <w:rsid w:val="00E04B78"/>
    <w:rsid w:val="00E06011"/>
    <w:rsid w:val="00E10FB4"/>
    <w:rsid w:val="00E1316E"/>
    <w:rsid w:val="00E13F1C"/>
    <w:rsid w:val="00E1691D"/>
    <w:rsid w:val="00E212C4"/>
    <w:rsid w:val="00E2266E"/>
    <w:rsid w:val="00E2517F"/>
    <w:rsid w:val="00E31D03"/>
    <w:rsid w:val="00E328DC"/>
    <w:rsid w:val="00E32E05"/>
    <w:rsid w:val="00E33404"/>
    <w:rsid w:val="00E37976"/>
    <w:rsid w:val="00E37F63"/>
    <w:rsid w:val="00E570F9"/>
    <w:rsid w:val="00E627E4"/>
    <w:rsid w:val="00E62A73"/>
    <w:rsid w:val="00E63B65"/>
    <w:rsid w:val="00E66CBA"/>
    <w:rsid w:val="00E729C3"/>
    <w:rsid w:val="00E73361"/>
    <w:rsid w:val="00E74F34"/>
    <w:rsid w:val="00E74F87"/>
    <w:rsid w:val="00E75CE4"/>
    <w:rsid w:val="00E763D5"/>
    <w:rsid w:val="00E81CD4"/>
    <w:rsid w:val="00E8388E"/>
    <w:rsid w:val="00E838B6"/>
    <w:rsid w:val="00E83DEF"/>
    <w:rsid w:val="00E85512"/>
    <w:rsid w:val="00E85887"/>
    <w:rsid w:val="00E85DFA"/>
    <w:rsid w:val="00E870C8"/>
    <w:rsid w:val="00E8766C"/>
    <w:rsid w:val="00E903C9"/>
    <w:rsid w:val="00E93947"/>
    <w:rsid w:val="00E94778"/>
    <w:rsid w:val="00E95342"/>
    <w:rsid w:val="00E9770D"/>
    <w:rsid w:val="00EA01B5"/>
    <w:rsid w:val="00EA20F1"/>
    <w:rsid w:val="00EA2D55"/>
    <w:rsid w:val="00EA46BB"/>
    <w:rsid w:val="00EA5C82"/>
    <w:rsid w:val="00EA672F"/>
    <w:rsid w:val="00EA779C"/>
    <w:rsid w:val="00EB0544"/>
    <w:rsid w:val="00EB0B81"/>
    <w:rsid w:val="00EB0D94"/>
    <w:rsid w:val="00EB171B"/>
    <w:rsid w:val="00EB35EE"/>
    <w:rsid w:val="00EB5E96"/>
    <w:rsid w:val="00EB60D5"/>
    <w:rsid w:val="00EB78E4"/>
    <w:rsid w:val="00EC6062"/>
    <w:rsid w:val="00ED32D4"/>
    <w:rsid w:val="00ED3AFF"/>
    <w:rsid w:val="00EE053B"/>
    <w:rsid w:val="00EE0863"/>
    <w:rsid w:val="00EE087F"/>
    <w:rsid w:val="00EE272E"/>
    <w:rsid w:val="00EE450C"/>
    <w:rsid w:val="00EE6340"/>
    <w:rsid w:val="00EF14EF"/>
    <w:rsid w:val="00EF17AA"/>
    <w:rsid w:val="00EF2139"/>
    <w:rsid w:val="00EF3844"/>
    <w:rsid w:val="00EF491F"/>
    <w:rsid w:val="00EF5DD7"/>
    <w:rsid w:val="00EF70F2"/>
    <w:rsid w:val="00F00EE7"/>
    <w:rsid w:val="00F010B4"/>
    <w:rsid w:val="00F01332"/>
    <w:rsid w:val="00F02940"/>
    <w:rsid w:val="00F049A2"/>
    <w:rsid w:val="00F103BB"/>
    <w:rsid w:val="00F10667"/>
    <w:rsid w:val="00F13685"/>
    <w:rsid w:val="00F1713D"/>
    <w:rsid w:val="00F22259"/>
    <w:rsid w:val="00F22EE8"/>
    <w:rsid w:val="00F24900"/>
    <w:rsid w:val="00F24B60"/>
    <w:rsid w:val="00F256BA"/>
    <w:rsid w:val="00F25FE1"/>
    <w:rsid w:val="00F3203B"/>
    <w:rsid w:val="00F3493F"/>
    <w:rsid w:val="00F3566E"/>
    <w:rsid w:val="00F36B58"/>
    <w:rsid w:val="00F403DA"/>
    <w:rsid w:val="00F41522"/>
    <w:rsid w:val="00F442BD"/>
    <w:rsid w:val="00F44D74"/>
    <w:rsid w:val="00F455E7"/>
    <w:rsid w:val="00F47C57"/>
    <w:rsid w:val="00F47CF8"/>
    <w:rsid w:val="00F51B0B"/>
    <w:rsid w:val="00F53522"/>
    <w:rsid w:val="00F536B5"/>
    <w:rsid w:val="00F53D60"/>
    <w:rsid w:val="00F5421B"/>
    <w:rsid w:val="00F6012F"/>
    <w:rsid w:val="00F603DE"/>
    <w:rsid w:val="00F607D2"/>
    <w:rsid w:val="00F612EB"/>
    <w:rsid w:val="00F6176D"/>
    <w:rsid w:val="00F62379"/>
    <w:rsid w:val="00F6336E"/>
    <w:rsid w:val="00F6446E"/>
    <w:rsid w:val="00F65288"/>
    <w:rsid w:val="00F70C37"/>
    <w:rsid w:val="00F738A7"/>
    <w:rsid w:val="00F74099"/>
    <w:rsid w:val="00F77099"/>
    <w:rsid w:val="00F801D6"/>
    <w:rsid w:val="00F854BF"/>
    <w:rsid w:val="00F92651"/>
    <w:rsid w:val="00F93052"/>
    <w:rsid w:val="00F9311A"/>
    <w:rsid w:val="00F93F29"/>
    <w:rsid w:val="00F94C26"/>
    <w:rsid w:val="00F955CE"/>
    <w:rsid w:val="00F97D0B"/>
    <w:rsid w:val="00FA011F"/>
    <w:rsid w:val="00FA0562"/>
    <w:rsid w:val="00FA0C51"/>
    <w:rsid w:val="00FA176F"/>
    <w:rsid w:val="00FA2BE3"/>
    <w:rsid w:val="00FA4484"/>
    <w:rsid w:val="00FA4B4B"/>
    <w:rsid w:val="00FA7A85"/>
    <w:rsid w:val="00FB46A1"/>
    <w:rsid w:val="00FB4D22"/>
    <w:rsid w:val="00FB7D85"/>
    <w:rsid w:val="00FC0084"/>
    <w:rsid w:val="00FC0D75"/>
    <w:rsid w:val="00FC1510"/>
    <w:rsid w:val="00FC2DF1"/>
    <w:rsid w:val="00FC2E1C"/>
    <w:rsid w:val="00FC3181"/>
    <w:rsid w:val="00FC563F"/>
    <w:rsid w:val="00FC7155"/>
    <w:rsid w:val="00FC7FFA"/>
    <w:rsid w:val="00FD0FC3"/>
    <w:rsid w:val="00FD14FC"/>
    <w:rsid w:val="00FD50D7"/>
    <w:rsid w:val="00FD54EA"/>
    <w:rsid w:val="00FD5802"/>
    <w:rsid w:val="00FE2F18"/>
    <w:rsid w:val="00FE356C"/>
    <w:rsid w:val="00FE5167"/>
    <w:rsid w:val="00FE578A"/>
    <w:rsid w:val="00FE57EF"/>
    <w:rsid w:val="00FE7890"/>
    <w:rsid w:val="00FF0C3C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4A04B"/>
  <w15:docId w15:val="{F2F64F8B-5097-424A-8C6A-9E84C15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E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66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E35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E356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E356C"/>
  </w:style>
  <w:style w:type="character" w:styleId="Lienhypertexte">
    <w:name w:val="Hyperlink"/>
    <w:rsid w:val="00111212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43374D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3374D"/>
    <w:rPr>
      <w:rFonts w:eastAsia="Times New Roman"/>
      <w:sz w:val="22"/>
      <w:szCs w:val="22"/>
    </w:rPr>
  </w:style>
  <w:style w:type="character" w:styleId="lev">
    <w:name w:val="Strong"/>
    <w:uiPriority w:val="22"/>
    <w:qFormat/>
    <w:rsid w:val="00304ADC"/>
    <w:rPr>
      <w:b/>
      <w:bCs/>
    </w:rPr>
  </w:style>
  <w:style w:type="table" w:styleId="Grilledutableau">
    <w:name w:val="Table Grid"/>
    <w:basedOn w:val="TableauNormal"/>
    <w:uiPriority w:val="59"/>
    <w:rsid w:val="0007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23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2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rix">
    <w:name w:val="prix"/>
    <w:basedOn w:val="Policepardfaut"/>
    <w:rsid w:val="002D3B54"/>
  </w:style>
  <w:style w:type="paragraph" w:customStyle="1" w:styleId="appentrylead">
    <w:name w:val="app_entry_lead"/>
    <w:basedOn w:val="Normal"/>
    <w:rsid w:val="00082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E38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38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387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38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387C"/>
    <w:rPr>
      <w:b/>
      <w:bC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4484"/>
    <w:rPr>
      <w:sz w:val="22"/>
      <w:szCs w:val="22"/>
      <w:lang w:eastAsia="en-US"/>
    </w:rPr>
  </w:style>
  <w:style w:type="character" w:customStyle="1" w:styleId="hgkelc">
    <w:name w:val="hgkelc"/>
    <w:basedOn w:val="Policepardfaut"/>
    <w:rsid w:val="00BF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57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157">
          <w:blockQuote w:val="1"/>
          <w:marLeft w:val="0"/>
          <w:marRight w:val="0"/>
          <w:marTop w:val="300"/>
          <w:marBottom w:val="450"/>
          <w:divBdr>
            <w:top w:val="none" w:sz="0" w:space="0" w:color="89D659"/>
            <w:left w:val="single" w:sz="36" w:space="15" w:color="89D659"/>
            <w:bottom w:val="none" w:sz="0" w:space="0" w:color="89D659"/>
            <w:right w:val="none" w:sz="0" w:space="0" w:color="89D659"/>
          </w:divBdr>
        </w:div>
      </w:divsChild>
    </w:div>
    <w:div w:id="135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ashed" w:sz="6" w:space="4" w:color="B5B5B5"/>
            <w:right w:val="none" w:sz="0" w:space="0" w:color="auto"/>
          </w:divBdr>
        </w:div>
      </w:divsChild>
    </w:div>
    <w:div w:id="193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\\oga-tse01\CGA\MS\FCGA%202008\Barom&#232;tre\Barom&#232;tre%203T2022\Analyse%203T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3T2022\Analyse%203T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Moral des TPE</a:t>
            </a:r>
          </a:p>
        </c:rich>
      </c:tx>
      <c:layout>
        <c:manualLayout>
          <c:xMode val="edge"/>
          <c:yMode val="edge"/>
          <c:x val="0.41554090484452155"/>
          <c:y val="3.30331364829396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2.8020308936792738E-2"/>
          <c:y val="0.17117158792650916"/>
          <c:w val="0.70439247287438711"/>
          <c:h val="0.72372584613670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OPTI!$I$2</c:f>
              <c:strCache>
                <c:ptCount val="1"/>
                <c:pt idx="0">
                  <c:v>2nd trimestre 2022</c:v>
                </c:pt>
              </c:strCache>
            </c:strRef>
          </c:tx>
          <c:spPr>
            <a:solidFill>
              <a:srgbClr val="00FF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OPTI!$H$3:$H$6</c:f>
              <c:strCache>
                <c:ptCount val="4"/>
                <c:pt idx="0">
                  <c:v>Optimistes</c:v>
                </c:pt>
                <c:pt idx="1">
                  <c:v>Indécis</c:v>
                </c:pt>
                <c:pt idx="2">
                  <c:v>Pessimistes</c:v>
                </c:pt>
                <c:pt idx="3">
                  <c:v>NSP</c:v>
                </c:pt>
              </c:strCache>
            </c:strRef>
          </c:cat>
          <c:val>
            <c:numRef>
              <c:f>OPTI!$I$3:$I$6</c:f>
              <c:numCache>
                <c:formatCode>0.0%</c:formatCode>
                <c:ptCount val="4"/>
                <c:pt idx="0">
                  <c:v>0.109</c:v>
                </c:pt>
                <c:pt idx="1">
                  <c:v>0.57099999999999995</c:v>
                </c:pt>
                <c:pt idx="2">
                  <c:v>0.26700000000000002</c:v>
                </c:pt>
                <c:pt idx="3">
                  <c:v>5.1999999999999998E-2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13-4E8E-A5EF-1A37894AD6FF}"/>
            </c:ext>
          </c:extLst>
        </c:ser>
        <c:ser>
          <c:idx val="1"/>
          <c:order val="1"/>
          <c:tx>
            <c:strRef>
              <c:f>OPTI!$J$2</c:f>
              <c:strCache>
                <c:ptCount val="1"/>
                <c:pt idx="0">
                  <c:v>3ème trimestre 2022</c:v>
                </c:pt>
              </c:strCache>
            </c:strRef>
          </c:tx>
          <c:spPr>
            <a:solidFill>
              <a:srgbClr val="99CC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OPTI!$H$3:$H$6</c:f>
              <c:strCache>
                <c:ptCount val="4"/>
                <c:pt idx="0">
                  <c:v>Optimistes</c:v>
                </c:pt>
                <c:pt idx="1">
                  <c:v>Indécis</c:v>
                </c:pt>
                <c:pt idx="2">
                  <c:v>Pessimistes</c:v>
                </c:pt>
                <c:pt idx="3">
                  <c:v>NSP</c:v>
                </c:pt>
              </c:strCache>
            </c:strRef>
          </c:cat>
          <c:val>
            <c:numRef>
              <c:f>OPTI!$J$3:$J$6</c:f>
              <c:numCache>
                <c:formatCode>0.0%</c:formatCode>
                <c:ptCount val="4"/>
                <c:pt idx="0">
                  <c:v>7.6645626690712357E-2</c:v>
                </c:pt>
                <c:pt idx="1">
                  <c:v>0.54283137962128047</c:v>
                </c:pt>
                <c:pt idx="2">
                  <c:v>0.32912533814247069</c:v>
                </c:pt>
                <c:pt idx="3">
                  <c:v>5.1397655545536519E-2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13-4E8E-A5EF-1A37894AD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5121328"/>
        <c:axId val="1755121872"/>
      </c:barChart>
      <c:catAx>
        <c:axId val="175512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55121872"/>
        <c:crosses val="autoZero"/>
        <c:auto val="1"/>
        <c:lblAlgn val="ctr"/>
        <c:lblOffset val="100"/>
        <c:noMultiLvlLbl val="0"/>
      </c:catAx>
      <c:valAx>
        <c:axId val="1755121872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7551213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506828595578102"/>
          <c:y val="0.42342486876640423"/>
          <c:w val="0.22972979225054491"/>
          <c:h val="0.1441443569553805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258120971453874"/>
          <c:y val="0.1619718309859155"/>
          <c:w val="0.32437332754628617"/>
          <c:h val="0.63732394366197187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C47-4830-8F99-EA50548C9320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6C47-4830-8F99-EA50548C9320}"/>
              </c:ext>
            </c:extLst>
          </c:dPt>
          <c:dLbls>
            <c:dLbl>
              <c:idx val="0"/>
              <c:layout>
                <c:manualLayout>
                  <c:x val="7.6567910843585746E-2"/>
                  <c:y val="-6.46268160141954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Non
97%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47-4830-8F99-EA50548C9320}"/>
                </c:ext>
              </c:extLst>
            </c:dLbl>
            <c:dLbl>
              <c:idx val="1"/>
              <c:layout>
                <c:manualLayout>
                  <c:x val="-5.3571717513805441E-2"/>
                  <c:y val="0.13233558833314849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Oui
3%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47-4830-8F99-EA50548C9320}"/>
                </c:ext>
              </c:extLst>
            </c:dLbl>
            <c:dLbl>
              <c:idx val="2"/>
              <c:layout>
                <c:manualLayout>
                  <c:x val="0.17331178421598309"/>
                  <c:y val="3.81945739562105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47-4830-8F99-EA50548C932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'INTENTION LICENCIEMENT'!$A$9:$A$10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'INTENTION LICENCIEMENT'!$C$9:$C$10</c:f>
              <c:numCache>
                <c:formatCode>0.00%</c:formatCode>
                <c:ptCount val="2"/>
                <c:pt idx="0">
                  <c:v>0.97011952191235062</c:v>
                </c:pt>
                <c:pt idx="1">
                  <c:v>2.9880478087649404E-2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47-4830-8F99-EA50548C9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B28BFF"/>
              </a:solidFill>
            </c:spPr>
            <c:extLst>
              <c:ext xmlns:c16="http://schemas.microsoft.com/office/drawing/2014/chart" uri="{C3380CC4-5D6E-409C-BE32-E72D297353CC}">
                <c16:uniqueId val="{00000001-F8FD-48D6-A149-983010946B01}"/>
              </c:ext>
            </c:extLst>
          </c:dPt>
          <c:dPt>
            <c:idx val="1"/>
            <c:invertIfNegative val="0"/>
            <c:bubble3D val="0"/>
            <c:spPr>
              <a:solidFill>
                <a:srgbClr val="FF7C80"/>
              </a:solidFill>
            </c:spPr>
            <c:extLst>
              <c:ext xmlns:c16="http://schemas.microsoft.com/office/drawing/2014/chart" uri="{C3380CC4-5D6E-409C-BE32-E72D297353CC}">
                <c16:uniqueId val="{00000003-F8FD-48D6-A149-983010946B01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F8FD-48D6-A149-983010946B01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F8FD-48D6-A149-983010946B0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F8FD-48D6-A149-983010946B01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'PREOCCUPATION '!$C$20:$C$24</c:f>
              <c:strCache>
                <c:ptCount val="5"/>
                <c:pt idx="0">
                  <c:v>Technique </c:v>
                </c:pt>
                <c:pt idx="1">
                  <c:v>Administratif</c:v>
                </c:pt>
                <c:pt idx="2">
                  <c:v>Gestion du personnel </c:v>
                </c:pt>
                <c:pt idx="3">
                  <c:v>Commercial</c:v>
                </c:pt>
                <c:pt idx="4">
                  <c:v>Financier </c:v>
                </c:pt>
              </c:strCache>
            </c:strRef>
          </c:cat>
          <c:val>
            <c:numRef>
              <c:f>'PREOCCUPATION '!$D$20:$D$24</c:f>
              <c:numCache>
                <c:formatCode>0.0%</c:formatCode>
                <c:ptCount val="5"/>
                <c:pt idx="0">
                  <c:v>8.4000000000000005E-2</c:v>
                </c:pt>
                <c:pt idx="1">
                  <c:v>0.10199999999999999</c:v>
                </c:pt>
                <c:pt idx="2">
                  <c:v>9.7000000000000003E-2</c:v>
                </c:pt>
                <c:pt idx="3">
                  <c:v>0.222</c:v>
                </c:pt>
                <c:pt idx="4">
                  <c:v>0.496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8FD-48D6-A149-983010946B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081888"/>
        <c:axId val="1707079712"/>
      </c:barChart>
      <c:catAx>
        <c:axId val="170708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7079712"/>
        <c:crosses val="autoZero"/>
        <c:auto val="1"/>
        <c:lblAlgn val="ctr"/>
        <c:lblOffset val="100"/>
        <c:noMultiLvlLbl val="0"/>
      </c:catAx>
      <c:valAx>
        <c:axId val="1707079712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707081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crédit de trésorerie au cours des 3 derniers mois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6311048992338174"/>
          <c:y val="0.22977491449932397"/>
          <c:w val="0.28646748681898065"/>
          <c:h val="0.49544072948328266"/>
        </c:manualLayout>
      </c:layout>
      <c:pie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4841-4C21-A0C3-7A29C7004511}"/>
              </c:ext>
            </c:extLst>
          </c:dPt>
          <c:dPt>
            <c:idx val="1"/>
            <c:bubble3D val="0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4841-4C21-A0C3-7A29C7004511}"/>
              </c:ext>
            </c:extLst>
          </c:dPt>
          <c:dLbls>
            <c:dLbl>
              <c:idx val="0"/>
              <c:layout>
                <c:manualLayout>
                  <c:x val="3.6038728902296705E-3"/>
                  <c:y val="2.93645112542750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95%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41-4C21-A0C3-7A29C7004511}"/>
                </c:ext>
              </c:extLst>
            </c:dLbl>
            <c:dLbl>
              <c:idx val="1"/>
              <c:layout>
                <c:manualLayout>
                  <c:x val="-2.4722841103561526E-2"/>
                  <c:y val="0.127245912442762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5,0%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41-4C21-A0C3-7A29C7004511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841-4C21-A0C3-7A29C700451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CREDTRESORERIE!$A$4:$A$5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CREDTRESORERIE!$C$4:$C$5</c:f>
              <c:numCache>
                <c:formatCode>0.0%</c:formatCode>
                <c:ptCount val="2"/>
                <c:pt idx="0">
                  <c:v>0.95031616982836498</c:v>
                </c:pt>
                <c:pt idx="1">
                  <c:v>4.9683830171635052E-2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841-4C21-A0C3-7A29C7004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50656167979004"/>
          <c:y val="0.10185185185185185"/>
          <c:w val="0.53888888888888886"/>
          <c:h val="0.89814814814814814"/>
        </c:manualLayout>
      </c:layout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AAF-4260-8863-C1D9DCDD66A9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AAF-4260-8863-C1D9DCDD66A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AAF-4260-8863-C1D9DCDD66A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AAF-4260-8863-C1D9DCDD66A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AAF-4260-8863-C1D9DCDD66A9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CREDTRESORERIE!$G$21:$G$25</c:f>
              <c:strCache>
                <c:ptCount val="5"/>
                <c:pt idx="0">
                  <c:v>Pas besoin de crédit </c:v>
                </c:pt>
                <c:pt idx="1">
                  <c:v>Pas d'engagement supplémentaire </c:v>
                </c:pt>
                <c:pt idx="2">
                  <c:v>Situation de l'entreprise non favorable </c:v>
                </c:pt>
                <c:pt idx="3">
                  <c:v>Critères trop sévères du prêteur</c:v>
                </c:pt>
                <c:pt idx="4">
                  <c:v>Sans réponse </c:v>
                </c:pt>
              </c:strCache>
            </c:strRef>
          </c:cat>
          <c:val>
            <c:numRef>
              <c:f>CREDTRESORERIE!$I$21:$I$25</c:f>
              <c:numCache>
                <c:formatCode>0.0%</c:formatCode>
                <c:ptCount val="5"/>
                <c:pt idx="0">
                  <c:v>0.49329758713136729</c:v>
                </c:pt>
                <c:pt idx="1">
                  <c:v>0.21000893655049152</c:v>
                </c:pt>
                <c:pt idx="2">
                  <c:v>4.1108132260947276E-2</c:v>
                </c:pt>
                <c:pt idx="3">
                  <c:v>1.4298480786416443E-2</c:v>
                </c:pt>
                <c:pt idx="4">
                  <c:v>9.472743521000894E-2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AF-4260-8863-C1D9DCDD66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crédit d'investissements  au cours des 3 derniers mois </a:t>
            </a:r>
          </a:p>
        </c:rich>
      </c:tx>
      <c:layout>
        <c:manualLayout>
          <c:xMode val="edge"/>
          <c:yMode val="edge"/>
          <c:x val="0.14397512517508082"/>
          <c:y val="1.829288192908470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9123690464364586"/>
          <c:y val="0.26524429729822269"/>
          <c:w val="0.23630709040476208"/>
          <c:h val="0.46036653898886926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explosion val="9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C1C4-40FB-9B6C-4F9CDF59BBF4}"/>
              </c:ext>
            </c:extLst>
          </c:dPt>
          <c:dPt>
            <c:idx val="1"/>
            <c:bubble3D val="0"/>
            <c:explosion val="18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C1C4-40FB-9B6C-4F9CDF59BBF4}"/>
              </c:ext>
            </c:extLst>
          </c:dPt>
          <c:dLbls>
            <c:dLbl>
              <c:idx val="0"/>
              <c:layout>
                <c:manualLayout>
                  <c:x val="6.5523147634714674E-2"/>
                  <c:y val="-0.176708641756859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94,0%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C4-40FB-9B6C-4F9CDF59BBF4}"/>
                </c:ext>
              </c:extLst>
            </c:dLbl>
            <c:dLbl>
              <c:idx val="1"/>
              <c:layout>
                <c:manualLayout>
                  <c:x val="0.1106201865611869"/>
                  <c:y val="6.802284545892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6,0%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C4-40FB-9B6C-4F9CDF59BBF4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C4-40FB-9B6C-4F9CDF59BBF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CREDINVESTSSEMENTS!$A$4:$A$5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CREDINVESTSSEMENTS!$C$4:$C$5</c:f>
              <c:numCache>
                <c:formatCode>0.0%</c:formatCode>
                <c:ptCount val="2"/>
                <c:pt idx="0">
                  <c:v>0.93983591613491335</c:v>
                </c:pt>
                <c:pt idx="1">
                  <c:v>6.01640838650866E-2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1C4-40FB-9B6C-4F9CDF59BB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90415157959272"/>
          <c:y val="0.10079773874419544"/>
          <c:w val="0.53888888888888886"/>
          <c:h val="0.89814814814814814"/>
        </c:manualLayout>
      </c:layout>
      <c:pieChart>
        <c:varyColors val="1"/>
        <c:ser>
          <c:idx val="0"/>
          <c:order val="0"/>
          <c:explosion val="2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76A1-42F0-A269-615EBD51C0D7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2-76A1-42F0-A269-615EBD51C0D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76A1-42F0-A269-615EBD51C0D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4-76A1-42F0-A269-615EBD51C0D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76A1-42F0-A269-615EBD51C0D7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A1-42F0-A269-615EBD51C0D7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A1-42F0-A269-615EBD51C0D7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A1-42F0-A269-615EBD51C0D7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A1-42F0-A269-615EBD51C0D7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A1-42F0-A269-615EBD51C0D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CREDINVESTSSEMENTS!$H$23:$I$27</c:f>
              <c:strCache>
                <c:ptCount val="5"/>
                <c:pt idx="0">
                  <c:v>Pas besoin de crédit </c:v>
                </c:pt>
                <c:pt idx="1">
                  <c:v>Pas d'engagement supplémentaire </c:v>
                </c:pt>
                <c:pt idx="2">
                  <c:v>Situation de l'entreprise non favorable </c:v>
                </c:pt>
                <c:pt idx="3">
                  <c:v>Critères trop sévères du prêteur</c:v>
                </c:pt>
                <c:pt idx="4">
                  <c:v>Sans réponse </c:v>
                </c:pt>
              </c:strCache>
            </c:strRef>
          </c:cat>
          <c:val>
            <c:numRef>
              <c:f>CREDINVESTSSEMENTS!$J$23:$J$27</c:f>
              <c:numCache>
                <c:formatCode>0.00%</c:formatCode>
                <c:ptCount val="5"/>
                <c:pt idx="0">
                  <c:v>0.49865951742627346</c:v>
                </c:pt>
                <c:pt idx="1">
                  <c:v>0.20107238605898123</c:v>
                </c:pt>
                <c:pt idx="2">
                  <c:v>4.1108132260947276E-2</c:v>
                </c:pt>
                <c:pt idx="3">
                  <c:v>1.2511170688114389E-2</c:v>
                </c:pt>
                <c:pt idx="4">
                  <c:v>8.6684539767649685E-2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A1-42F0-A269-615EBD51C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nouvelles exigences de la part de la banque en matière de garanties </a:t>
            </a:r>
          </a:p>
        </c:rich>
      </c:tx>
      <c:layout>
        <c:manualLayout>
          <c:xMode val="edge"/>
          <c:yMode val="edge"/>
          <c:x val="9.7552292159799048E-2"/>
          <c:y val="2.836077308518253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9748994578846775"/>
          <c:y val="0.34277620396600567"/>
          <c:w val="0.2217575487030399"/>
          <c:h val="0.3002832861189802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explosion val="9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93B5-4680-BBF6-EB0596F7D432}"/>
              </c:ext>
            </c:extLst>
          </c:dPt>
          <c:dPt>
            <c:idx val="1"/>
            <c:bubble3D val="0"/>
            <c:explosion val="18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93B5-4680-BBF6-EB0596F7D432}"/>
              </c:ext>
            </c:extLst>
          </c:dPt>
          <c:dLbls>
            <c:dLbl>
              <c:idx val="0"/>
              <c:layout>
                <c:manualLayout>
                  <c:x val="-0.10720399980677262"/>
                  <c:y val="1.7366678596993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79,8%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5-4680-BBF6-EB0596F7D432}"/>
                </c:ext>
              </c:extLst>
            </c:dLbl>
            <c:dLbl>
              <c:idx val="1"/>
              <c:layout>
                <c:manualLayout>
                  <c:x val="1.1139880521069751E-2"/>
                  <c:y val="7.8605045602007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20,2%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13300484678677"/>
                      <c:h val="0.157656053862832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3B5-4680-BBF6-EB0596F7D432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5-4680-BBF6-EB0596F7D43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'EXIGENCES '!$A$4:$A$5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'EXIGENCES '!$C$4:$C$5</c:f>
              <c:numCache>
                <c:formatCode>0.0%</c:formatCode>
                <c:ptCount val="2"/>
                <c:pt idx="0">
                  <c:v>0.79768786127167635</c:v>
                </c:pt>
                <c:pt idx="1">
                  <c:v>0.20231213872832371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3B5-4680-BBF6-EB0596F7D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Comparatif 3T2021 - 3T2022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'COMPARATIF '!$D$7</c:f>
              <c:strCache>
                <c:ptCount val="1"/>
                <c:pt idx="0">
                  <c:v>3T2022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'COMPARATIF '!$B$8:$B$10</c:f>
              <c:strCache>
                <c:ptCount val="3"/>
                <c:pt idx="0">
                  <c:v>Demande de crédit de trésorerie</c:v>
                </c:pt>
                <c:pt idx="1">
                  <c:v>Demande de Crédit d'investissement</c:v>
                </c:pt>
                <c:pt idx="2">
                  <c:v>Nouvelles exigences en matière de garantie</c:v>
                </c:pt>
              </c:strCache>
            </c:strRef>
          </c:cat>
          <c:val>
            <c:numRef>
              <c:f>'COMPARATIF '!$D$8:$D$10</c:f>
              <c:numCache>
                <c:formatCode>0.00%</c:formatCode>
                <c:ptCount val="3"/>
                <c:pt idx="0">
                  <c:v>0.05</c:v>
                </c:pt>
                <c:pt idx="1">
                  <c:v>0.06</c:v>
                </c:pt>
                <c:pt idx="2">
                  <c:v>0.20200000000000001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9A-4D32-BBD1-6F241BA25BAA}"/>
            </c:ext>
          </c:extLst>
        </c:ser>
        <c:ser>
          <c:idx val="0"/>
          <c:order val="1"/>
          <c:tx>
            <c:strRef>
              <c:f>'COMPARATIF '!$C$7</c:f>
              <c:strCache>
                <c:ptCount val="1"/>
                <c:pt idx="0">
                  <c:v>3T2021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'COMPARATIF '!$B$8:$B$10</c:f>
              <c:strCache>
                <c:ptCount val="3"/>
                <c:pt idx="0">
                  <c:v>Demande de crédit de trésorerie</c:v>
                </c:pt>
                <c:pt idx="1">
                  <c:v>Demande de Crédit d'investissement</c:v>
                </c:pt>
                <c:pt idx="2">
                  <c:v>Nouvelles exigences en matière de garantie</c:v>
                </c:pt>
              </c:strCache>
            </c:strRef>
          </c:cat>
          <c:val>
            <c:numRef>
              <c:f>'COMPARATIF '!$C$8:$C$10</c:f>
              <c:numCache>
                <c:formatCode>0.00%</c:formatCode>
                <c:ptCount val="3"/>
                <c:pt idx="0">
                  <c:v>0.04</c:v>
                </c:pt>
                <c:pt idx="1">
                  <c:v>7.6999999999999999E-2</c:v>
                </c:pt>
                <c:pt idx="2">
                  <c:v>0.16500000000000001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9A-4D32-BBD1-6F241BA25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077536"/>
        <c:axId val="1707071552"/>
      </c:barChart>
      <c:catAx>
        <c:axId val="17070775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7071552"/>
        <c:crosses val="autoZero"/>
        <c:auto val="1"/>
        <c:lblAlgn val="ctr"/>
        <c:lblOffset val="100"/>
        <c:noMultiLvlLbl val="0"/>
      </c:catAx>
      <c:valAx>
        <c:axId val="1707071552"/>
        <c:scaling>
          <c:orientation val="minMax"/>
        </c:scaling>
        <c:delete val="1"/>
        <c:axPos val="t"/>
        <c:numFmt formatCode="0.00%" sourceLinked="1"/>
        <c:majorTickMark val="out"/>
        <c:minorTickMark val="none"/>
        <c:tickLblPos val="nextTo"/>
        <c:crossAx val="17070775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baseline="0">
                <a:latin typeface="Calibri" panose="020F0502020204030204" pitchFamily="34" charset="0"/>
              </a:defRPr>
            </a:pPr>
            <a:r>
              <a:rPr lang="fr-FR" sz="1200" b="1" i="0" baseline="0">
                <a:latin typeface="Calibri" panose="020F0502020204030204" pitchFamily="34" charset="0"/>
              </a:rPr>
              <a:t>Impact de la crise sanitaire sur l'activité 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657684657929869"/>
          <c:y val="0.10620689655172412"/>
          <c:w val="0.61027509104614519"/>
          <c:h val="0.8600766283524904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'5-1 Impact Crise sanitaire'!$I$6</c:f>
              <c:strCache>
                <c:ptCount val="1"/>
                <c:pt idx="0">
                  <c:v>A la baisse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'5-1 Impact Crise sanitaire'!$H$7:$H$9</c:f>
              <c:strCache>
                <c:ptCount val="3"/>
                <c:pt idx="0">
                  <c:v>Impact faible </c:v>
                </c:pt>
                <c:pt idx="1">
                  <c:v>Impact moyen </c:v>
                </c:pt>
                <c:pt idx="2">
                  <c:v>Impact important</c:v>
                </c:pt>
              </c:strCache>
            </c:strRef>
          </c:cat>
          <c:val>
            <c:numRef>
              <c:f>'5-1 Impact Crise sanitaire'!$I$7:$I$9</c:f>
              <c:numCache>
                <c:formatCode>0.00%</c:formatCode>
                <c:ptCount val="3"/>
                <c:pt idx="0">
                  <c:v>0.22600243013365734</c:v>
                </c:pt>
                <c:pt idx="1">
                  <c:v>0.24422843256379101</c:v>
                </c:pt>
                <c:pt idx="2">
                  <c:v>0.17618469015795868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10-4152-A01F-9B683013CC9F}"/>
            </c:ext>
          </c:extLst>
        </c:ser>
        <c:ser>
          <c:idx val="1"/>
          <c:order val="1"/>
          <c:tx>
            <c:strRef>
              <c:f>'5-1 Impact Crise sanitaire'!$J$6</c:f>
              <c:strCache>
                <c:ptCount val="1"/>
                <c:pt idx="0">
                  <c:v>A la hausse 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'5-1 Impact Crise sanitaire'!$H$7:$H$9</c:f>
              <c:strCache>
                <c:ptCount val="3"/>
                <c:pt idx="0">
                  <c:v>Impact faible </c:v>
                </c:pt>
                <c:pt idx="1">
                  <c:v>Impact moyen </c:v>
                </c:pt>
                <c:pt idx="2">
                  <c:v>Impact important</c:v>
                </c:pt>
              </c:strCache>
            </c:strRef>
          </c:cat>
          <c:val>
            <c:numRef>
              <c:f>'5-1 Impact Crise sanitaire'!$J$7:$J$9</c:f>
              <c:numCache>
                <c:formatCode>0.00%</c:formatCode>
                <c:ptCount val="3"/>
                <c:pt idx="0">
                  <c:v>0.11543134872417983</c:v>
                </c:pt>
                <c:pt idx="1">
                  <c:v>0.15674362089914945</c:v>
                </c:pt>
                <c:pt idx="2">
                  <c:v>8.1409477521263665E-2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10-4152-A01F-9B683013CC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074816"/>
        <c:axId val="1707075360"/>
      </c:barChart>
      <c:catAx>
        <c:axId val="17070748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707075360"/>
        <c:crosses val="autoZero"/>
        <c:auto val="1"/>
        <c:lblAlgn val="ctr"/>
        <c:lblOffset val="100"/>
        <c:noMultiLvlLbl val="0"/>
      </c:catAx>
      <c:valAx>
        <c:axId val="1707075360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extTo"/>
        <c:crossAx val="17070748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Impact</a:t>
            </a:r>
            <a:r>
              <a:rPr lang="fr-FR" sz="1200" baseline="0"/>
              <a:t> Crise sanitaire à la baisse </a:t>
            </a:r>
            <a:endParaRPr lang="fr-FR" sz="1200"/>
          </a:p>
        </c:rich>
      </c:tx>
      <c:layout>
        <c:manualLayout>
          <c:xMode val="edge"/>
          <c:yMode val="edge"/>
          <c:x val="0.3876987367086556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4248623707369815"/>
          <c:y val="0.1095890410958904"/>
          <c:w val="0.55393953152731246"/>
          <c:h val="0.8569254185692541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'5- Impact Covid  '!$B$46</c:f>
              <c:strCache>
                <c:ptCount val="1"/>
                <c:pt idx="0">
                  <c:v>Faible à la baisse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 Impact Covid  '!$A$47:$A$57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 Impact Covid  '!$B$47:$B$57</c:f>
              <c:numCache>
                <c:formatCode>0.00%</c:formatCode>
                <c:ptCount val="11"/>
                <c:pt idx="0">
                  <c:v>0.33333333333333331</c:v>
                </c:pt>
                <c:pt idx="1">
                  <c:v>0.42675159235668791</c:v>
                </c:pt>
                <c:pt idx="2">
                  <c:v>0.3046875</c:v>
                </c:pt>
                <c:pt idx="3">
                  <c:v>0.32432432432432434</c:v>
                </c:pt>
                <c:pt idx="4">
                  <c:v>6.6666666666666666E-2</c:v>
                </c:pt>
                <c:pt idx="5">
                  <c:v>0.3125</c:v>
                </c:pt>
                <c:pt idx="6">
                  <c:v>0.20833333333333334</c:v>
                </c:pt>
                <c:pt idx="7">
                  <c:v>0.17307692307692307</c:v>
                </c:pt>
                <c:pt idx="8">
                  <c:v>0.6097560975609756</c:v>
                </c:pt>
                <c:pt idx="9">
                  <c:v>0.38709677419354838</c:v>
                </c:pt>
                <c:pt idx="1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D2-41CD-8458-A94B30488194}"/>
            </c:ext>
          </c:extLst>
        </c:ser>
        <c:ser>
          <c:idx val="1"/>
          <c:order val="1"/>
          <c:tx>
            <c:strRef>
              <c:f>'5- Impact Covid  '!$C$46</c:f>
              <c:strCache>
                <c:ptCount val="1"/>
                <c:pt idx="0">
                  <c:v>Moyen à la baisse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 Impact Covid  '!$A$47:$A$57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 Impact Covid  '!$C$47:$C$57</c:f>
              <c:numCache>
                <c:formatCode>0.0%</c:formatCode>
                <c:ptCount val="11"/>
                <c:pt idx="0">
                  <c:v>0.44444444444444442</c:v>
                </c:pt>
                <c:pt idx="1">
                  <c:v>0.33121019108280253</c:v>
                </c:pt>
                <c:pt idx="2">
                  <c:v>0.421875</c:v>
                </c:pt>
                <c:pt idx="3">
                  <c:v>0.40540540540540543</c:v>
                </c:pt>
                <c:pt idx="4">
                  <c:v>0.53333333333333333</c:v>
                </c:pt>
                <c:pt idx="5">
                  <c:v>0.375</c:v>
                </c:pt>
                <c:pt idx="6">
                  <c:v>0.5</c:v>
                </c:pt>
                <c:pt idx="7">
                  <c:v>0.34615384615384615</c:v>
                </c:pt>
                <c:pt idx="8">
                  <c:v>0.21951219512195122</c:v>
                </c:pt>
                <c:pt idx="9">
                  <c:v>0.35483870967741937</c:v>
                </c:pt>
                <c:pt idx="10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D2-41CD-8458-A94B30488194}"/>
            </c:ext>
          </c:extLst>
        </c:ser>
        <c:ser>
          <c:idx val="2"/>
          <c:order val="2"/>
          <c:tx>
            <c:strRef>
              <c:f>'5- Impact Covid  '!$D$46</c:f>
              <c:strCache>
                <c:ptCount val="1"/>
                <c:pt idx="0">
                  <c:v>Important à la baisse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 Impact Covid  '!$A$47:$A$57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 Impact Covid  '!$D$47:$D$57</c:f>
              <c:numCache>
                <c:formatCode>0.0%</c:formatCode>
                <c:ptCount val="11"/>
                <c:pt idx="0">
                  <c:v>0.22222222222222221</c:v>
                </c:pt>
                <c:pt idx="1">
                  <c:v>0.24203821656050956</c:v>
                </c:pt>
                <c:pt idx="2">
                  <c:v>0.2734375</c:v>
                </c:pt>
                <c:pt idx="3">
                  <c:v>0.27027027027027029</c:v>
                </c:pt>
                <c:pt idx="4">
                  <c:v>0.4</c:v>
                </c:pt>
                <c:pt idx="5">
                  <c:v>0.3125</c:v>
                </c:pt>
                <c:pt idx="6">
                  <c:v>0.29166666666666669</c:v>
                </c:pt>
                <c:pt idx="7">
                  <c:v>0.48076923076923078</c:v>
                </c:pt>
                <c:pt idx="8">
                  <c:v>0.17073170731707318</c:v>
                </c:pt>
                <c:pt idx="9">
                  <c:v>0.25806451612903225</c:v>
                </c:pt>
                <c:pt idx="10">
                  <c:v>0.44285714285714284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D2-41CD-8458-A94B30488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07082432"/>
        <c:axId val="1707072096"/>
      </c:barChart>
      <c:catAx>
        <c:axId val="17070824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707072096"/>
        <c:crosses val="autoZero"/>
        <c:auto val="1"/>
        <c:lblAlgn val="ctr"/>
        <c:lblOffset val="100"/>
        <c:noMultiLvlLbl val="0"/>
      </c:catAx>
      <c:valAx>
        <c:axId val="170707209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707082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51343545129239"/>
          <c:y val="0.3725942725719123"/>
          <c:w val="0.20148656454870764"/>
          <c:h val="0.26495304339493059"/>
        </c:manualLayout>
      </c:layout>
      <c:overlay val="0"/>
      <c:txPr>
        <a:bodyPr/>
        <a:lstStyle/>
        <a:p>
          <a:pPr>
            <a:defRPr sz="800" baseline="0"/>
          </a:pPr>
          <a:endParaRPr lang="fr-F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319723770792386"/>
          <c:y val="4.6511627906976744E-2"/>
          <c:w val="0.67465753424657537"/>
          <c:h val="0.910300480008824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OPTI!$A$40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33CAFF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OPTI!$B$40:$E$40</c:f>
              <c:numCache>
                <c:formatCode>0.0%</c:formatCode>
                <c:ptCount val="4"/>
                <c:pt idx="0">
                  <c:v>6.535947712418301E-2</c:v>
                </c:pt>
                <c:pt idx="1">
                  <c:v>4.3388429752066117E-2</c:v>
                </c:pt>
                <c:pt idx="2">
                  <c:v>4.5918367346938778E-2</c:v>
                </c:pt>
                <c:pt idx="3">
                  <c:v>6.8493150684931503E-2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9-499F-ADC8-A5C300FD27E7}"/>
            </c:ext>
          </c:extLst>
        </c:ser>
        <c:ser>
          <c:idx val="1"/>
          <c:order val="1"/>
          <c:tx>
            <c:strRef>
              <c:f>OPTI!$A$41</c:f>
              <c:strCache>
                <c:ptCount val="1"/>
                <c:pt idx="0">
                  <c:v>Hausse</c:v>
                </c:pt>
              </c:strCache>
            </c:strRef>
          </c:tx>
          <c:spPr>
            <a:solidFill>
              <a:srgbClr val="FF9B57"/>
            </a:solidFill>
          </c:spPr>
          <c:invertIfNegative val="0"/>
          <c:dLbls>
            <c:dLbl>
              <c:idx val="0"/>
              <c:layout>
                <c:manualLayout>
                  <c:x val="8.3725798011512302E-3"/>
                  <c:y val="4.4296788482834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239-499F-ADC8-A5C300FD27E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OPTI!$B$41:$E$41</c:f>
              <c:numCache>
                <c:formatCode>0.0%</c:formatCode>
                <c:ptCount val="4"/>
                <c:pt idx="0">
                  <c:v>3.9215686274509803E-2</c:v>
                </c:pt>
                <c:pt idx="1">
                  <c:v>9.5041322314049589E-2</c:v>
                </c:pt>
                <c:pt idx="2">
                  <c:v>0.10204081632653061</c:v>
                </c:pt>
                <c:pt idx="3">
                  <c:v>6.8493150684931503E-2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9-499F-ADC8-A5C300FD27E7}"/>
            </c:ext>
          </c:extLst>
        </c:ser>
        <c:ser>
          <c:idx val="2"/>
          <c:order val="2"/>
          <c:tx>
            <c:strRef>
              <c:f>OPTI!$A$42</c:f>
              <c:strCache>
                <c:ptCount val="1"/>
                <c:pt idx="0">
                  <c:v>Stable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OPTI!$B$42:$E$42</c:f>
              <c:numCache>
                <c:formatCode>0.0%</c:formatCode>
                <c:ptCount val="4"/>
                <c:pt idx="0">
                  <c:v>0.57843137254901966</c:v>
                </c:pt>
                <c:pt idx="1">
                  <c:v>0.21</c:v>
                </c:pt>
                <c:pt idx="2">
                  <c:v>0.52551020408163263</c:v>
                </c:pt>
                <c:pt idx="3">
                  <c:v>0.58904109589041098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39-499F-ADC8-A5C300FD27E7}"/>
            </c:ext>
          </c:extLst>
        </c:ser>
        <c:ser>
          <c:idx val="3"/>
          <c:order val="3"/>
          <c:tx>
            <c:strRef>
              <c:f>OPTI!$A$43</c:f>
              <c:strCache>
                <c:ptCount val="1"/>
                <c:pt idx="0">
                  <c:v>Baisse</c:v>
                </c:pt>
              </c:strCache>
            </c:strRef>
          </c:tx>
          <c:spPr>
            <a:solidFill>
              <a:srgbClr val="B28BFF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OPTI!$B$43:$E$43</c:f>
              <c:numCache>
                <c:formatCode>0.0%</c:formatCode>
                <c:ptCount val="4"/>
                <c:pt idx="0">
                  <c:v>0.31699346405228757</c:v>
                </c:pt>
                <c:pt idx="1">
                  <c:v>0.32644628099173556</c:v>
                </c:pt>
                <c:pt idx="2">
                  <c:v>0.32653061224489793</c:v>
                </c:pt>
                <c:pt idx="3">
                  <c:v>0.27397260273972601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39-499F-ADC8-A5C300FD2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5118064"/>
        <c:axId val="1685963120"/>
      </c:barChart>
      <c:catAx>
        <c:axId val="1755118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85963120"/>
        <c:crosses val="autoZero"/>
        <c:auto val="1"/>
        <c:lblAlgn val="ctr"/>
        <c:lblOffset val="100"/>
        <c:noMultiLvlLbl val="0"/>
      </c:catAx>
      <c:valAx>
        <c:axId val="1685963120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755118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71239636374465"/>
          <c:y val="0.34219338861712051"/>
          <c:w val="0.10958911335434773"/>
          <c:h val="0.3887050165240972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Impact</a:t>
            </a:r>
            <a:r>
              <a:rPr lang="fr-FR" sz="1200" baseline="0"/>
              <a:t> Crise sanitaire à la hausse </a:t>
            </a:r>
            <a:endParaRPr lang="fr-FR" sz="1200"/>
          </a:p>
        </c:rich>
      </c:tx>
      <c:layout>
        <c:manualLayout>
          <c:xMode val="edge"/>
          <c:yMode val="edge"/>
          <c:x val="0.3876987367086556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4248623707369815"/>
          <c:y val="0.1095890410958904"/>
          <c:w val="0.55393953152731246"/>
          <c:h val="0.85692541856925419"/>
        </c:manualLayout>
      </c:layout>
      <c:barChart>
        <c:barDir val="bar"/>
        <c:grouping val="percentStacked"/>
        <c:varyColors val="0"/>
        <c:ser>
          <c:idx val="3"/>
          <c:order val="0"/>
          <c:tx>
            <c:strRef>
              <c:f>'5-1 Impact Crise sanitaire'!$J$54</c:f>
              <c:strCache>
                <c:ptCount val="1"/>
                <c:pt idx="0">
                  <c:v>Faible à la hausse 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'5-1 Impact Crise sanitaire'!$I$55:$I$65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'5-1 Impact Crise sanitaire'!$J$55:$J$65</c:f>
              <c:numCache>
                <c:formatCode>0.00%</c:formatCode>
                <c:ptCount val="11"/>
                <c:pt idx="0">
                  <c:v>0</c:v>
                </c:pt>
                <c:pt idx="1">
                  <c:v>0.30952380952380953</c:v>
                </c:pt>
                <c:pt idx="2">
                  <c:v>0.44</c:v>
                </c:pt>
                <c:pt idx="3">
                  <c:v>0.37037037037037035</c:v>
                </c:pt>
                <c:pt idx="4">
                  <c:v>0.4</c:v>
                </c:pt>
                <c:pt idx="5">
                  <c:v>0.30769230769230771</c:v>
                </c:pt>
                <c:pt idx="6">
                  <c:v>0.2857142857142857</c:v>
                </c:pt>
                <c:pt idx="7">
                  <c:v>0.33333333333333331</c:v>
                </c:pt>
                <c:pt idx="8">
                  <c:v>0.14285714285714285</c:v>
                </c:pt>
                <c:pt idx="9">
                  <c:v>0.22222222222222221</c:v>
                </c:pt>
                <c:pt idx="10">
                  <c:v>0.77777777777777779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DD-417C-A2ED-CE1C5FDA274A}"/>
            </c:ext>
          </c:extLst>
        </c:ser>
        <c:ser>
          <c:idx val="4"/>
          <c:order val="1"/>
          <c:tx>
            <c:strRef>
              <c:f>'5-1 Impact Crise sanitaire'!$K$54</c:f>
              <c:strCache>
                <c:ptCount val="1"/>
                <c:pt idx="0">
                  <c:v>Moyen à la hausse 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'5-1 Impact Crise sanitaire'!$I$55:$I$65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'5-1 Impact Crise sanitaire'!$K$55:$K$65</c:f>
              <c:numCache>
                <c:formatCode>0.0%</c:formatCode>
                <c:ptCount val="11"/>
                <c:pt idx="0">
                  <c:v>0.5</c:v>
                </c:pt>
                <c:pt idx="1">
                  <c:v>0.54761904761904767</c:v>
                </c:pt>
                <c:pt idx="2">
                  <c:v>0.36</c:v>
                </c:pt>
                <c:pt idx="3">
                  <c:v>0.37037037037037035</c:v>
                </c:pt>
                <c:pt idx="4">
                  <c:v>0.4</c:v>
                </c:pt>
                <c:pt idx="5">
                  <c:v>0.15384615384615385</c:v>
                </c:pt>
                <c:pt idx="6">
                  <c:v>0.5714285714285714</c:v>
                </c:pt>
                <c:pt idx="7">
                  <c:v>0.5</c:v>
                </c:pt>
                <c:pt idx="8">
                  <c:v>0.61904761904761907</c:v>
                </c:pt>
                <c:pt idx="9">
                  <c:v>0.55555555555555558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DD-417C-A2ED-CE1C5FDA274A}"/>
            </c:ext>
          </c:extLst>
        </c:ser>
        <c:ser>
          <c:idx val="5"/>
          <c:order val="2"/>
          <c:tx>
            <c:strRef>
              <c:f>'5-1 Impact Crise sanitaire'!$L$54</c:f>
              <c:strCache>
                <c:ptCount val="1"/>
                <c:pt idx="0">
                  <c:v>Important à la hausse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rgbClr val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/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'5-1 Impact Crise sanitaire'!$I$55:$I$65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'5-1 Impact Crise sanitaire'!$L$55:$L$65</c:f>
              <c:numCache>
                <c:formatCode>0.0%</c:formatCode>
                <c:ptCount val="11"/>
                <c:pt idx="0">
                  <c:v>0.5</c:v>
                </c:pt>
                <c:pt idx="1">
                  <c:v>0.14285714285714285</c:v>
                </c:pt>
                <c:pt idx="2">
                  <c:v>0.2</c:v>
                </c:pt>
                <c:pt idx="3">
                  <c:v>0.25925925925925924</c:v>
                </c:pt>
                <c:pt idx="4">
                  <c:v>0.2</c:v>
                </c:pt>
                <c:pt idx="5">
                  <c:v>0.53846153846153844</c:v>
                </c:pt>
                <c:pt idx="6">
                  <c:v>0.14285714285714285</c:v>
                </c:pt>
                <c:pt idx="7">
                  <c:v>0.16666666666666666</c:v>
                </c:pt>
                <c:pt idx="8">
                  <c:v>0.23809523809523808</c:v>
                </c:pt>
                <c:pt idx="9">
                  <c:v>0.22222222222222221</c:v>
                </c:pt>
                <c:pt idx="10">
                  <c:v>0.22222222222222221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DD-417C-A2ED-CE1C5FDA27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07070464"/>
        <c:axId val="1707083520"/>
      </c:barChart>
      <c:catAx>
        <c:axId val="17070704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707083520"/>
        <c:crosses val="autoZero"/>
        <c:auto val="1"/>
        <c:lblAlgn val="ctr"/>
        <c:lblOffset val="100"/>
        <c:noMultiLvlLbl val="0"/>
      </c:catAx>
      <c:valAx>
        <c:axId val="170708352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707070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 baseline="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Aides</a:t>
            </a:r>
            <a:r>
              <a:rPr lang="en-US" sz="1200" baseline="0"/>
              <a:t> Financières pour les entreprises aprés 2 ans de Covid </a:t>
            </a:r>
            <a:endParaRPr lang="en-US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057629484607299"/>
          <c:y val="0.10508939335212218"/>
          <c:w val="0.76048314138914053"/>
          <c:h val="0.832553898550632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'5 -2 Aides Covid '!$J$5</c:f>
              <c:strCache>
                <c:ptCount val="1"/>
                <c:pt idx="0">
                  <c:v>Oui 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'5 -2 Aides Covid '!$I$6:$I$11</c:f>
              <c:strCache>
                <c:ptCount val="6"/>
                <c:pt idx="0">
                  <c:v>Fonds de Solidarité</c:v>
                </c:pt>
                <c:pt idx="1">
                  <c:v>URSSAF </c:v>
                </c:pt>
                <c:pt idx="2">
                  <c:v>Prêt garanti par l'Etat </c:v>
                </c:pt>
                <c:pt idx="3">
                  <c:v>Chômage partiel Prêt</c:v>
                </c:pt>
                <c:pt idx="4">
                  <c:v>Aides régionales </c:v>
                </c:pt>
                <c:pt idx="5">
                  <c:v>Aides aux couts fixes </c:v>
                </c:pt>
              </c:strCache>
            </c:strRef>
          </c:cat>
          <c:val>
            <c:numRef>
              <c:f>'5 -2 Aides Covid '!$J$6:$J$11</c:f>
              <c:numCache>
                <c:formatCode>0.0%</c:formatCode>
                <c:ptCount val="6"/>
                <c:pt idx="0">
                  <c:v>0.41645569620253164</c:v>
                </c:pt>
                <c:pt idx="1">
                  <c:v>0.35800970873786409</c:v>
                </c:pt>
                <c:pt idx="2">
                  <c:v>0.34172661870503596</c:v>
                </c:pt>
                <c:pt idx="3">
                  <c:v>0.18162618796198521</c:v>
                </c:pt>
                <c:pt idx="4">
                  <c:v>8.8521400778210121E-2</c:v>
                </c:pt>
                <c:pt idx="5">
                  <c:v>7.2007200720072004E-3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18-45CC-BD1F-0DC498CF61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7072640"/>
        <c:axId val="1707075904"/>
      </c:barChart>
      <c:catAx>
        <c:axId val="170707264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707075904"/>
        <c:crosses val="autoZero"/>
        <c:auto val="1"/>
        <c:lblAlgn val="ctr"/>
        <c:lblOffset val="100"/>
        <c:noMultiLvlLbl val="0"/>
      </c:catAx>
      <c:valAx>
        <c:axId val="1707075904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7070726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Aides adaptées à la situation 	</a:t>
            </a:r>
          </a:p>
        </c:rich>
      </c:tx>
      <c:layout>
        <c:manualLayout>
          <c:xMode val="edge"/>
          <c:yMode val="edge"/>
          <c:x val="0.30653658536585365"/>
          <c:y val="6.080347448425624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2069289958991657"/>
          <c:y val="0.20470425196850395"/>
          <c:w val="0.34236111111111112"/>
          <c:h val="0.53354978354978355"/>
        </c:manualLayout>
      </c:layout>
      <c:pie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76FD-495C-89C4-C3BE483F4251}"/>
              </c:ext>
            </c:extLst>
          </c:dPt>
          <c:dPt>
            <c:idx val="1"/>
            <c:bubble3D val="0"/>
            <c:spPr>
              <a:solidFill>
                <a:srgbClr val="FFCC00"/>
              </a:solidFill>
            </c:spPr>
            <c:extLst>
              <c:ext xmlns:c16="http://schemas.microsoft.com/office/drawing/2014/chart" uri="{C3380CC4-5D6E-409C-BE32-E72D297353CC}">
                <c16:uniqueId val="{00000003-76FD-495C-89C4-C3BE483F4251}"/>
              </c:ext>
            </c:extLst>
          </c:dPt>
          <c:dPt>
            <c:idx val="2"/>
            <c:bubble3D val="0"/>
            <c:spPr>
              <a:solidFill>
                <a:srgbClr val="FF7C80"/>
              </a:solidFill>
            </c:spPr>
            <c:extLst>
              <c:ext xmlns:c16="http://schemas.microsoft.com/office/drawing/2014/chart" uri="{C3380CC4-5D6E-409C-BE32-E72D297353CC}">
                <c16:uniqueId val="{00000005-76FD-495C-89C4-C3BE483F4251}"/>
              </c:ext>
            </c:extLst>
          </c:dPt>
          <c:dLbls>
            <c:dLbl>
              <c:idx val="0"/>
              <c:layout>
                <c:manualLayout>
                  <c:x val="2.8323629217411319E-3"/>
                  <c:y val="3.43789718130314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</a:t>
                    </a:r>
                    <a:r>
                      <a:rPr lang="en-US" baseline="0"/>
                      <a:t>
20,9%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FD-495C-89C4-C3BE483F4251}"/>
                </c:ext>
              </c:extLst>
            </c:dLbl>
            <c:dLbl>
              <c:idx val="1"/>
              <c:layout>
                <c:manualLayout>
                  <c:x val="4.4968956096618752E-2"/>
                  <c:y val="-0.1251826442070012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</a:t>
                    </a:r>
                    <a:r>
                      <a:rPr lang="en-US" baseline="0"/>
                      <a:t>
47,9%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FD-495C-89C4-C3BE483F4251}"/>
                </c:ext>
              </c:extLst>
            </c:dLbl>
            <c:dLbl>
              <c:idx val="2"/>
              <c:layout>
                <c:manualLayout>
                  <c:x val="-7.5931971918148352E-4"/>
                  <c:y val="8.7280002051860747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Non concerné</a:t>
                    </a:r>
                  </a:p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31,2%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FD-495C-89C4-C3BE483F425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'5-3 Aides adaptées '!$A$5:$A$7</c:f>
              <c:strCache>
                <c:ptCount val="3"/>
                <c:pt idx="0">
                  <c:v>Non</c:v>
                </c:pt>
                <c:pt idx="1">
                  <c:v>Oui</c:v>
                </c:pt>
                <c:pt idx="2">
                  <c:v>Non concerné </c:v>
                </c:pt>
              </c:strCache>
            </c:strRef>
          </c:cat>
          <c:val>
            <c:numRef>
              <c:f>'5-3 Aides adaptées '!$C$5:$C$7</c:f>
              <c:numCache>
                <c:formatCode>0.0%</c:formatCode>
                <c:ptCount val="3"/>
                <c:pt idx="0">
                  <c:v>0.20918866080156404</c:v>
                </c:pt>
                <c:pt idx="1">
                  <c:v>0.47898338220918868</c:v>
                </c:pt>
                <c:pt idx="2">
                  <c:v>0.31182795698924731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FD-495C-89C4-C3BE483F4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928226077294123"/>
          <c:y val="0.12017819447087898"/>
          <c:w val="0.74194723103680871"/>
          <c:h val="0.8441798497680084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'5-3 Aides adaptées '!$A$71:$A$81</c:f>
              <c:strCache>
                <c:ptCount val="11"/>
                <c:pt idx="0">
                  <c:v>Equipement de la personne</c:v>
                </c:pt>
                <c:pt idx="1">
                  <c:v>Café, hôtellerie, restauration</c:v>
                </c:pt>
                <c:pt idx="2">
                  <c:v>Beauté, esthétique</c:v>
                </c:pt>
                <c:pt idx="3">
                  <c:v>Culture et loisirs</c:v>
                </c:pt>
                <c:pt idx="4">
                  <c:v>Transports</c:v>
                </c:pt>
                <c:pt idx="5">
                  <c:v>Equipement de la maison</c:v>
                </c:pt>
                <c:pt idx="6">
                  <c:v>Services</c:v>
                </c:pt>
                <c:pt idx="7">
                  <c:v>Santé</c:v>
                </c:pt>
                <c:pt idx="8">
                  <c:v>Bâtiment</c:v>
                </c:pt>
                <c:pt idx="9">
                  <c:v>Automobile</c:v>
                </c:pt>
                <c:pt idx="10">
                  <c:v>Commerce de détail alimentaire</c:v>
                </c:pt>
              </c:strCache>
            </c:strRef>
          </c:cat>
          <c:val>
            <c:numRef>
              <c:f>'5-3 Aides adaptées '!$B$71:$B$81</c:f>
              <c:numCache>
                <c:formatCode>0.0%</c:formatCode>
                <c:ptCount val="11"/>
                <c:pt idx="0">
                  <c:v>0.84</c:v>
                </c:pt>
                <c:pt idx="1">
                  <c:v>0.754</c:v>
                </c:pt>
                <c:pt idx="2">
                  <c:v>0.7</c:v>
                </c:pt>
                <c:pt idx="3">
                  <c:v>0.63600000000000001</c:v>
                </c:pt>
                <c:pt idx="4">
                  <c:v>0.55000000000000004</c:v>
                </c:pt>
                <c:pt idx="5">
                  <c:v>0.54300000000000004</c:v>
                </c:pt>
                <c:pt idx="6">
                  <c:v>0.5</c:v>
                </c:pt>
                <c:pt idx="7">
                  <c:v>0.442</c:v>
                </c:pt>
                <c:pt idx="8">
                  <c:v>0.42099999999999999</c:v>
                </c:pt>
                <c:pt idx="9">
                  <c:v>0.26900000000000002</c:v>
                </c:pt>
                <c:pt idx="10">
                  <c:v>0.20799999999999999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93-4D82-AE0C-55FB099BF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44961680"/>
        <c:axId val="1944957328"/>
      </c:barChart>
      <c:catAx>
        <c:axId val="19449616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44957328"/>
        <c:crosses val="autoZero"/>
        <c:auto val="1"/>
        <c:lblAlgn val="ctr"/>
        <c:lblOffset val="100"/>
        <c:noMultiLvlLbl val="0"/>
      </c:catAx>
      <c:valAx>
        <c:axId val="1944957328"/>
        <c:scaling>
          <c:orientation val="minMax"/>
        </c:scaling>
        <c:delete val="1"/>
        <c:axPos val="t"/>
        <c:numFmt formatCode="0.0%" sourceLinked="1"/>
        <c:majorTickMark val="none"/>
        <c:minorTickMark val="none"/>
        <c:tickLblPos val="nextTo"/>
        <c:crossAx val="194496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userShapes r:id="rId4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Difficultés rencontrées</a:t>
            </a:r>
            <a:r>
              <a:rPr lang="en-US" sz="1200" baseline="0"/>
              <a:t> suite crise sanitaire 	</a:t>
            </a:r>
            <a:r>
              <a:rPr lang="en-US" sz="1200"/>
              <a:t>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'5 -4 Difficultés rencontrées'!$J$5</c:f>
              <c:strCache>
                <c:ptCount val="1"/>
                <c:pt idx="0">
                  <c:v>Oui 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'5 -4 Difficultés rencontrées'!$I$6:$I$10</c:f>
              <c:strCache>
                <c:ptCount val="5"/>
                <c:pt idx="0">
                  <c:v>Relance activité </c:v>
                </c:pt>
                <c:pt idx="1">
                  <c:v>Trésorerie </c:v>
                </c:pt>
                <c:pt idx="2">
                  <c:v>Autres</c:v>
                </c:pt>
                <c:pt idx="3">
                  <c:v>Gestion du Personnel</c:v>
                </c:pt>
                <c:pt idx="4">
                  <c:v>Endettement</c:v>
                </c:pt>
              </c:strCache>
            </c:strRef>
          </c:cat>
          <c:val>
            <c:numRef>
              <c:f>'5 -4 Difficultés rencontrées'!$J$6:$J$10</c:f>
              <c:numCache>
                <c:formatCode>0.0%</c:formatCode>
                <c:ptCount val="5"/>
                <c:pt idx="0">
                  <c:v>0.52660300136425653</c:v>
                </c:pt>
                <c:pt idx="1">
                  <c:v>0.39700374531835209</c:v>
                </c:pt>
                <c:pt idx="2">
                  <c:v>0.21498371335504887</c:v>
                </c:pt>
                <c:pt idx="3">
                  <c:v>0.16199376947040497</c:v>
                </c:pt>
                <c:pt idx="4">
                  <c:v>7.3896353166986561E-2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24-4EF3-A34B-BD1C9260A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4963856"/>
        <c:axId val="1944969296"/>
      </c:barChart>
      <c:catAx>
        <c:axId val="194496385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1944969296"/>
        <c:crosses val="autoZero"/>
        <c:auto val="1"/>
        <c:lblAlgn val="ctr"/>
        <c:lblOffset val="100"/>
        <c:noMultiLvlLbl val="0"/>
      </c:catAx>
      <c:valAx>
        <c:axId val="1944969296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9449638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893416927899685"/>
          <c:y val="5.7339513756443694E-2"/>
          <c:w val="0.50783699059561127"/>
          <c:h val="0.9334872839549033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OPTI!$B$73</c:f>
              <c:strCache>
                <c:ptCount val="1"/>
                <c:pt idx="0">
                  <c:v>Hausse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9739368998628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E2-4B94-8123-63BDF16086A2}"/>
                </c:ext>
              </c:extLst>
            </c:dLbl>
            <c:dLbl>
              <c:idx val="7"/>
              <c:layout>
                <c:manualLayout>
                  <c:x val="-3.1390932100565619E-3"/>
                  <c:y val="2.46448067231032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E2-4B94-8123-63BDF16086A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OPTI!$B$74:$B$84</c:f>
              <c:numCache>
                <c:formatCode>0.0%</c:formatCode>
                <c:ptCount val="11"/>
                <c:pt idx="0">
                  <c:v>0.10714285714285714</c:v>
                </c:pt>
                <c:pt idx="1">
                  <c:v>8.2278481012658222E-2</c:v>
                </c:pt>
                <c:pt idx="2">
                  <c:v>3.0927835051546393E-2</c:v>
                </c:pt>
                <c:pt idx="3">
                  <c:v>1.8518518518518517E-2</c:v>
                </c:pt>
                <c:pt idx="4">
                  <c:v>7.6923076923076927E-2</c:v>
                </c:pt>
                <c:pt idx="5">
                  <c:v>0.2857142857142857</c:v>
                </c:pt>
                <c:pt idx="6">
                  <c:v>0</c:v>
                </c:pt>
                <c:pt idx="7">
                  <c:v>3.2258064516129031E-2</c:v>
                </c:pt>
                <c:pt idx="8">
                  <c:v>0.1276595744680851</c:v>
                </c:pt>
                <c:pt idx="9">
                  <c:v>0.17142857142857143</c:v>
                </c:pt>
                <c:pt idx="10">
                  <c:v>9.5238095238095233E-2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E2-4B94-8123-63BDF16086A2}"/>
            </c:ext>
          </c:extLst>
        </c:ser>
        <c:ser>
          <c:idx val="1"/>
          <c:order val="1"/>
          <c:tx>
            <c:strRef>
              <c:f>OPTI!$C$73</c:f>
              <c:strCache>
                <c:ptCount val="1"/>
                <c:pt idx="0">
                  <c:v>Stable</c:v>
                </c:pt>
              </c:strCache>
            </c:strRef>
          </c:tx>
          <c:spPr>
            <a:solidFill>
              <a:srgbClr val="FFCC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OPTI!$C$74:$C$84</c:f>
              <c:numCache>
                <c:formatCode>0.0%</c:formatCode>
                <c:ptCount val="11"/>
                <c:pt idx="0">
                  <c:v>0.5714285714285714</c:v>
                </c:pt>
                <c:pt idx="1">
                  <c:v>0.67721518987341767</c:v>
                </c:pt>
                <c:pt idx="2">
                  <c:v>0.5670103092783505</c:v>
                </c:pt>
                <c:pt idx="3">
                  <c:v>0.53703703703703709</c:v>
                </c:pt>
                <c:pt idx="4">
                  <c:v>0.53846153846153844</c:v>
                </c:pt>
                <c:pt idx="5">
                  <c:v>0.14285714285714285</c:v>
                </c:pt>
                <c:pt idx="6">
                  <c:v>0.45454545454545453</c:v>
                </c:pt>
                <c:pt idx="7">
                  <c:v>0.54838709677419351</c:v>
                </c:pt>
                <c:pt idx="8">
                  <c:v>0.53191489361702127</c:v>
                </c:pt>
                <c:pt idx="9">
                  <c:v>0.48571428571428571</c:v>
                </c:pt>
                <c:pt idx="10">
                  <c:v>0.69047619047619047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E2-4B94-8123-63BDF16086A2}"/>
            </c:ext>
          </c:extLst>
        </c:ser>
        <c:ser>
          <c:idx val="2"/>
          <c:order val="2"/>
          <c:tx>
            <c:strRef>
              <c:f>OPTI!$D$73</c:f>
              <c:strCache>
                <c:ptCount val="1"/>
                <c:pt idx="0">
                  <c:v>Baisse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OPTI!$D$74:$D$84</c:f>
              <c:numCache>
                <c:formatCode>0.0%</c:formatCode>
                <c:ptCount val="11"/>
                <c:pt idx="0">
                  <c:v>0.32142857142857145</c:v>
                </c:pt>
                <c:pt idx="1">
                  <c:v>0.24050632911392406</c:v>
                </c:pt>
                <c:pt idx="2">
                  <c:v>0.40206185567010311</c:v>
                </c:pt>
                <c:pt idx="3">
                  <c:v>0.44444444444444442</c:v>
                </c:pt>
                <c:pt idx="4">
                  <c:v>0.38461538461538464</c:v>
                </c:pt>
                <c:pt idx="5">
                  <c:v>0.5714285714285714</c:v>
                </c:pt>
                <c:pt idx="6">
                  <c:v>0.54545454545454541</c:v>
                </c:pt>
                <c:pt idx="7">
                  <c:v>0.41935483870967744</c:v>
                </c:pt>
                <c:pt idx="8">
                  <c:v>0.34042553191489361</c:v>
                </c:pt>
                <c:pt idx="9">
                  <c:v>0.34285714285714286</c:v>
                </c:pt>
                <c:pt idx="10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E2-4B94-8123-63BDF1608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85963664"/>
        <c:axId val="1685967472"/>
      </c:barChart>
      <c:catAx>
        <c:axId val="168596366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685967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5967472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685963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087774294670851"/>
          <c:y val="0.4225361970598745"/>
          <c:w val="0.10815047021943569"/>
          <c:h val="0.1596246595936071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6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Investissements dans les 3 mois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2430643044619417"/>
          <c:y val="0.24025974025974026"/>
          <c:w val="0.34236111111111112"/>
          <c:h val="0.53354978354978355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A2D9-4365-AFDF-06507443CC62}"/>
              </c:ext>
            </c:extLst>
          </c:dPt>
          <c:dPt>
            <c:idx val="1"/>
            <c:bubble3D val="0"/>
            <c:spPr>
              <a:solidFill>
                <a:srgbClr val="FFCC00"/>
              </a:solidFill>
            </c:spPr>
            <c:extLst>
              <c:ext xmlns:c16="http://schemas.microsoft.com/office/drawing/2014/chart" uri="{C3380CC4-5D6E-409C-BE32-E72D297353CC}">
                <c16:uniqueId val="{00000003-A2D9-4365-AFDF-06507443CC62}"/>
              </c:ext>
            </c:extLst>
          </c:dPt>
          <c:dPt>
            <c:idx val="2"/>
            <c:bubble3D val="0"/>
            <c:spPr>
              <a:solidFill>
                <a:srgbClr val="FF7C80"/>
              </a:solidFill>
            </c:spPr>
            <c:extLst>
              <c:ext xmlns:c16="http://schemas.microsoft.com/office/drawing/2014/chart" uri="{C3380CC4-5D6E-409C-BE32-E72D297353CC}">
                <c16:uniqueId val="{00000005-A2D9-4365-AFDF-06507443CC62}"/>
              </c:ext>
            </c:extLst>
          </c:dPt>
          <c:dLbls>
            <c:dLbl>
              <c:idx val="0"/>
              <c:layout>
                <c:manualLayout>
                  <c:x val="0.12733730234940144"/>
                  <c:y val="7.7973241149734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Sans</a:t>
                    </a:r>
                    <a:r>
                      <a:rPr lang="en-US" baseline="0"/>
                      <a:t> réponse
2,7%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D9-4365-AFDF-06507443CC62}"/>
                </c:ext>
              </c:extLst>
            </c:dLbl>
            <c:dLbl>
              <c:idx val="1"/>
              <c:layout>
                <c:manualLayout>
                  <c:x val="-3.6797814907282934E-2"/>
                  <c:y val="6.58824659112732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</a:t>
                    </a:r>
                    <a:r>
                      <a:rPr lang="en-US" baseline="0"/>
                      <a:t>
83%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D9-4365-AFDF-06507443CC62}"/>
                </c:ext>
              </c:extLst>
            </c:dLbl>
            <c:dLbl>
              <c:idx val="2"/>
              <c:layout>
                <c:manualLayout>
                  <c:x val="-5.0953630796150484E-3"/>
                  <c:y val="4.902631073554829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Oui </a:t>
                    </a:r>
                  </a:p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14,1%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D9-4365-AFDF-06507443CC6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INVT!$A$3:$A$5</c:f>
              <c:strCache>
                <c:ptCount val="3"/>
                <c:pt idx="0">
                  <c:v>Sans réponse</c:v>
                </c:pt>
                <c:pt idx="1">
                  <c:v>Non</c:v>
                </c:pt>
                <c:pt idx="2">
                  <c:v>Oui</c:v>
                </c:pt>
              </c:strCache>
            </c:strRef>
          </c:cat>
          <c:val>
            <c:numRef>
              <c:f>INVT!$C$3:$C$5</c:f>
              <c:numCache>
                <c:formatCode>0.0%</c:formatCode>
                <c:ptCount val="3"/>
                <c:pt idx="0">
                  <c:v>2.7051397655545536E-2</c:v>
                </c:pt>
                <c:pt idx="1">
                  <c:v>0.83047790802524801</c:v>
                </c:pt>
                <c:pt idx="2">
                  <c:v>0.14119749776586238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D9-4365-AFDF-06507443CC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Projets d'investissements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740856844305124E-2"/>
          <c:y val="0.12654353391011308"/>
          <c:w val="0.87460815047021945"/>
          <c:h val="0.6666686760605832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333399"/>
                    </a:solidFill>
                    <a:latin typeface="Verdana"/>
                    <a:ea typeface="Verdana"/>
                    <a:cs typeface="Verdana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'détails INVT'!$G$14:$G$17</c:f>
              <c:strCache>
                <c:ptCount val="4"/>
                <c:pt idx="0">
                  <c:v>Aménagement - Rénovation</c:v>
                </c:pt>
                <c:pt idx="1">
                  <c:v>Matériel, mobilier, informatique</c:v>
                </c:pt>
                <c:pt idx="2">
                  <c:v>Autres</c:v>
                </c:pt>
                <c:pt idx="3">
                  <c:v>Constructions</c:v>
                </c:pt>
              </c:strCache>
            </c:strRef>
          </c:cat>
          <c:val>
            <c:numRef>
              <c:f>'détails INVT'!$H$14:$H$17</c:f>
              <c:numCache>
                <c:formatCode>0.0%</c:formatCode>
                <c:ptCount val="4"/>
                <c:pt idx="0">
                  <c:v>0.43670886075949367</c:v>
                </c:pt>
                <c:pt idx="1">
                  <c:v>0.42405063291139239</c:v>
                </c:pt>
                <c:pt idx="2">
                  <c:v>0.24683544303797469</c:v>
                </c:pt>
                <c:pt idx="3">
                  <c:v>6.9620253164556958E-2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81-40EF-9B19-E093E8764F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5969104"/>
        <c:axId val="1685969648"/>
      </c:barChart>
      <c:catAx>
        <c:axId val="168596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85969648"/>
        <c:crosses val="autoZero"/>
        <c:auto val="1"/>
        <c:lblAlgn val="ctr"/>
        <c:lblOffset val="100"/>
        <c:noMultiLvlLbl val="0"/>
      </c:catAx>
      <c:valAx>
        <c:axId val="1685969648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68596910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615532894453768"/>
          <c:y val="3.2520325203252036E-2"/>
          <c:w val="0.79635833225764807"/>
          <c:h val="0.897793263646922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INVT!$A$23:$A$26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INVT!$B$23:$B$26</c:f>
              <c:numCache>
                <c:formatCode>0.0%</c:formatCode>
                <c:ptCount val="4"/>
                <c:pt idx="0">
                  <c:v>9.8360655737704916E-2</c:v>
                </c:pt>
                <c:pt idx="1">
                  <c:v>0.14653465346534653</c:v>
                </c:pt>
                <c:pt idx="2">
                  <c:v>0.1683673469387755</c:v>
                </c:pt>
                <c:pt idx="3">
                  <c:v>0.70270270270270274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3D-4518-8714-0C9EF041E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5970192"/>
        <c:axId val="1637084976"/>
      </c:barChart>
      <c:catAx>
        <c:axId val="16859701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37084976"/>
        <c:crosses val="autoZero"/>
        <c:auto val="1"/>
        <c:lblAlgn val="ctr"/>
        <c:lblOffset val="100"/>
        <c:noMultiLvlLbl val="0"/>
      </c:catAx>
      <c:valAx>
        <c:axId val="1637084976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685970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547713726419652"/>
          <c:y val="4.0009332166812475E-2"/>
          <c:w val="0.68452286273580354"/>
          <c:h val="0.92427646544181974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INVT!$A$62:$A$72</c:f>
              <c:strCache>
                <c:ptCount val="11"/>
                <c:pt idx="0">
                  <c:v>Santé</c:v>
                </c:pt>
                <c:pt idx="1">
                  <c:v>Automobile</c:v>
                </c:pt>
                <c:pt idx="2">
                  <c:v>Equipement de la personne</c:v>
                </c:pt>
                <c:pt idx="3">
                  <c:v>Culture et loisirs</c:v>
                </c:pt>
                <c:pt idx="4">
                  <c:v>Equipement de la maison</c:v>
                </c:pt>
                <c:pt idx="5">
                  <c:v>Beauté, esthétique</c:v>
                </c:pt>
                <c:pt idx="6">
                  <c:v>Services</c:v>
                </c:pt>
                <c:pt idx="7">
                  <c:v>Café, hôtellerie, restauration</c:v>
                </c:pt>
                <c:pt idx="8">
                  <c:v>Bâtiment</c:v>
                </c:pt>
                <c:pt idx="9">
                  <c:v>Commerce de détail alimentaire</c:v>
                </c:pt>
                <c:pt idx="10">
                  <c:v>Transports</c:v>
                </c:pt>
              </c:strCache>
            </c:strRef>
          </c:cat>
          <c:val>
            <c:numRef>
              <c:f>INVT!$B$62:$B$72</c:f>
              <c:numCache>
                <c:formatCode>0.0%</c:formatCode>
                <c:ptCount val="11"/>
                <c:pt idx="0">
                  <c:v>0.20799999999999999</c:v>
                </c:pt>
                <c:pt idx="1">
                  <c:v>0.185</c:v>
                </c:pt>
                <c:pt idx="2">
                  <c:v>0.16700000000000001</c:v>
                </c:pt>
                <c:pt idx="3">
                  <c:v>0.154</c:v>
                </c:pt>
                <c:pt idx="4">
                  <c:v>0.15</c:v>
                </c:pt>
                <c:pt idx="5">
                  <c:v>0.14000000000000001</c:v>
                </c:pt>
                <c:pt idx="6">
                  <c:v>0.13900000000000001</c:v>
                </c:pt>
                <c:pt idx="7">
                  <c:v>0.111</c:v>
                </c:pt>
                <c:pt idx="8">
                  <c:v>0.104</c:v>
                </c:pt>
                <c:pt idx="9">
                  <c:v>8.8999999999999996E-2</c:v>
                </c:pt>
                <c:pt idx="10">
                  <c:v>7.2999999999999995E-2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AC-46ED-8C35-B638039F38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7074640"/>
        <c:axId val="1707073184"/>
      </c:barChart>
      <c:catAx>
        <c:axId val="163707464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7073184"/>
        <c:crosses val="autoZero"/>
        <c:auto val="1"/>
        <c:lblAlgn val="ctr"/>
        <c:lblOffset val="100"/>
        <c:noMultiLvlLbl val="0"/>
      </c:catAx>
      <c:valAx>
        <c:axId val="1707073184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16370746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18712273641851"/>
          <c:y val="0.2130811654872255"/>
          <c:w val="0.3762575452716298"/>
          <c:h val="0.59177306630282445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5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095-417B-BE64-46440AC00CD3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D095-417B-BE64-46440AC00CD3}"/>
              </c:ext>
            </c:extLst>
          </c:dPt>
          <c:dLbls>
            <c:dLbl>
              <c:idx val="0"/>
              <c:layout>
                <c:manualLayout>
                  <c:x val="4.4154269448713375E-2"/>
                  <c:y val="-4.8319877736801888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Baisse effectif 
58,2%</a:t>
                    </a: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95-417B-BE64-46440AC00CD3}"/>
                </c:ext>
              </c:extLst>
            </c:dLbl>
            <c:dLbl>
              <c:idx val="1"/>
              <c:layout>
                <c:manualLayout>
                  <c:x val="2.8045226741023568E-2"/>
                  <c:y val="-8.051529951161168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Hausse effectif 
41,8%</a:t>
                    </a: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95-417B-BE64-46440AC00CD3}"/>
                </c:ext>
              </c:extLst>
            </c:dLbl>
            <c:dLbl>
              <c:idx val="2"/>
              <c:layout>
                <c:manualLayout>
                  <c:x val="0.10796643480944357"/>
                  <c:y val="3.125010596417224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baseline="0">
                        <a:solidFill>
                          <a:sysClr val="windowText" lastClr="000000"/>
                        </a:solidFill>
                      </a:rPr>
                      <a:t>Sans Réponse
2%</a:t>
                    </a:r>
                    <a:endParaRPr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95-417B-BE64-46440AC00CD3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'Variation EFFECTIF'!$A$10:$A$11</c:f>
              <c:strCache>
                <c:ptCount val="2"/>
                <c:pt idx="0">
                  <c:v>Baisse effectif </c:v>
                </c:pt>
                <c:pt idx="1">
                  <c:v>Hausse effectif </c:v>
                </c:pt>
              </c:strCache>
            </c:strRef>
          </c:cat>
          <c:val>
            <c:numRef>
              <c:f>'Variation EFFECTIF'!$C$10:$C$11</c:f>
              <c:numCache>
                <c:formatCode>0.0%</c:formatCode>
                <c:ptCount val="2"/>
                <c:pt idx="0">
                  <c:v>0.58241758241758246</c:v>
                </c:pt>
                <c:pt idx="1">
                  <c:v>0.4175824175824176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095-417B-BE64-46440AC00C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18712273641851"/>
          <c:y val="0.22151932963207333"/>
          <c:w val="0.3762575452716298"/>
          <c:h val="0.59177306630282445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FB9-4EE7-8C29-D4A48AA36F8F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7FB9-4EE7-8C29-D4A48AA36F8F}"/>
              </c:ext>
            </c:extLst>
          </c:dPt>
          <c:dLbls>
            <c:dLbl>
              <c:idx val="0"/>
              <c:layout>
                <c:manualLayout>
                  <c:x val="9.7809745612784313E-2"/>
                  <c:y val="-0.12004983554270907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Non
93,5%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B9-4EE7-8C29-D4A48AA36F8F}"/>
                </c:ext>
              </c:extLst>
            </c:dLbl>
            <c:dLbl>
              <c:idx val="1"/>
              <c:layout>
                <c:manualLayout>
                  <c:x val="-1.8632360074161716E-2"/>
                  <c:y val="-2.9882055882255225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Oui
6,5%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B9-4EE7-8C29-D4A48AA36F8F}"/>
                </c:ext>
              </c:extLst>
            </c:dLbl>
            <c:dLbl>
              <c:idx val="2"/>
              <c:layout>
                <c:manualLayout>
                  <c:x val="0.10796643480944357"/>
                  <c:y val="3.125010596417224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339966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t>Sans Réponse
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B9-4EE7-8C29-D4A48AA36F8F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'INTENTION EMBAUCHER 6 PROCH '!$A$10:$A$11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'INTENTION EMBAUCHER 6 PROCH '!$C$10:$C$11</c:f>
              <c:numCache>
                <c:formatCode>0.0%</c:formatCode>
                <c:ptCount val="2"/>
                <c:pt idx="0">
                  <c:v>0.93545454545454543</c:v>
                </c:pt>
                <c:pt idx="1">
                  <c:v>6.4545454545454545E-2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FB9-4EE7-8C29-D4A48AA36F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0.37133</cdr:x>
      <cdr:y>0.04172</cdr:y>
    </cdr:from>
    <cdr:to>
      <cdr:x>0.88381</cdr:x>
      <cdr:y>0.14286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2537621" y="125390"/>
          <a:ext cx="3502221" cy="303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200" b="1"/>
            <a:t>Aides adaptées Par secteur</a:t>
          </a:r>
          <a:r>
            <a:rPr lang="fr-FR" sz="1200" b="1" baseline="0"/>
            <a:t> </a:t>
          </a:r>
          <a:endParaRPr lang="fr-FR" sz="12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5D90-68D4-466F-9EE8-C1C338A1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14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RESULTATS BAROMETRE 1er SEMESTRE 2010</vt:lpstr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RESULTATS BAROMETRE 1er SEMESTRE 2010</dc:title>
  <dc:creator>valerie</dc:creator>
  <cp:lastModifiedBy>TVA</cp:lastModifiedBy>
  <cp:revision>60</cp:revision>
  <cp:lastPrinted>2022-09-22T11:15:00Z</cp:lastPrinted>
  <dcterms:created xsi:type="dcterms:W3CDTF">2022-03-22T10:30:00Z</dcterms:created>
  <dcterms:modified xsi:type="dcterms:W3CDTF">2022-12-21T15:15:00Z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ciété">
    <vt:lpwstr>CGA 13</vt:lpwstr>
  </property>
  <property fmtid="{D5CDD505-2E9C-101B-9397-08002B2CF9AE}" pid="3" name="Sujet">
    <vt:lpwstr>BAROMETREGOOGLE ADHERENT 2017</vt:lpwstr>
  </property>
  <property fmtid="{D5CDD505-2E9C-101B-9397-08002B2CF9AE}" pid="4" name="Responsable">
    <vt:lpwstr> </vt:lpwstr>
  </property>
  <property fmtid="{D5CDD505-2E9C-101B-9397-08002B2CF9AE}" pid="5" name="Auteur">
    <vt:lpwstr>ms       </vt:lpwstr>
  </property>
  <property fmtid="{D5CDD505-2E9C-101B-9397-08002B2CF9AE}" pid="6" name="Titre">
    <vt:lpwstr>Envoi du baromètre Trimestriel Google: STADNIK</vt:lpwstr>
  </property>
</Properties>
</file>