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49083" w14:textId="0DC29F65" w:rsidR="00AD5423" w:rsidRPr="00B270C3" w:rsidRDefault="00F77099" w:rsidP="00477327">
      <w:pPr>
        <w:tabs>
          <w:tab w:val="left" w:pos="1245"/>
          <w:tab w:val="center" w:pos="5225"/>
        </w:tabs>
        <w:spacing w:after="120"/>
        <w:ind w:right="17"/>
        <w:rPr>
          <w:b/>
          <w:color w:val="FF0066"/>
          <w:sz w:val="40"/>
          <w:szCs w:val="40"/>
        </w:rPr>
      </w:pPr>
      <w:r>
        <w:rPr>
          <w:b/>
          <w:color w:val="FF0066"/>
          <w:sz w:val="40"/>
          <w:szCs w:val="40"/>
        </w:rPr>
        <w:tab/>
      </w:r>
      <w:r>
        <w:rPr>
          <w:b/>
          <w:color w:val="FF0066"/>
          <w:sz w:val="40"/>
          <w:szCs w:val="40"/>
        </w:rPr>
        <w:tab/>
      </w:r>
      <w:r w:rsidR="00AD5423" w:rsidRPr="00B270C3">
        <w:rPr>
          <w:b/>
          <w:color w:val="FF0066"/>
          <w:sz w:val="40"/>
          <w:szCs w:val="40"/>
        </w:rPr>
        <w:t xml:space="preserve">RESULTATS BAROMETRE </w:t>
      </w:r>
      <w:r w:rsidR="00EE0863">
        <w:rPr>
          <w:b/>
          <w:color w:val="FF0066"/>
          <w:sz w:val="40"/>
          <w:szCs w:val="40"/>
        </w:rPr>
        <w:t>2</w:t>
      </w:r>
      <w:r w:rsidR="00EE0863" w:rsidRPr="00EE0863">
        <w:rPr>
          <w:b/>
          <w:color w:val="FF0066"/>
          <w:sz w:val="40"/>
          <w:szCs w:val="40"/>
          <w:vertAlign w:val="superscript"/>
        </w:rPr>
        <w:t>nd</w:t>
      </w:r>
      <w:r w:rsidR="00EE0863">
        <w:rPr>
          <w:b/>
          <w:color w:val="FF0066"/>
          <w:sz w:val="40"/>
          <w:szCs w:val="40"/>
          <w:vertAlign w:val="superscript"/>
        </w:rPr>
        <w:t xml:space="preserve"> </w:t>
      </w:r>
      <w:r w:rsidR="00AD5423" w:rsidRPr="00B270C3">
        <w:rPr>
          <w:b/>
          <w:color w:val="FF0066"/>
          <w:sz w:val="40"/>
          <w:szCs w:val="40"/>
        </w:rPr>
        <w:t>TRIMESTRE 20</w:t>
      </w:r>
      <w:r w:rsidR="00975A24">
        <w:rPr>
          <w:b/>
          <w:color w:val="FF0066"/>
          <w:sz w:val="40"/>
          <w:szCs w:val="40"/>
        </w:rPr>
        <w:t>2</w:t>
      </w:r>
      <w:r w:rsidR="001F39F2">
        <w:rPr>
          <w:b/>
          <w:color w:val="FF0066"/>
          <w:sz w:val="40"/>
          <w:szCs w:val="40"/>
        </w:rPr>
        <w:t>2</w:t>
      </w:r>
    </w:p>
    <w:p w14:paraId="31C8D6D2" w14:textId="77777777" w:rsidR="00D44430" w:rsidRDefault="00D44430" w:rsidP="00477327">
      <w:pPr>
        <w:spacing w:after="120"/>
        <w:ind w:right="17"/>
        <w:jc w:val="center"/>
        <w:rPr>
          <w:b/>
          <w:color w:val="FF0066"/>
          <w:sz w:val="40"/>
          <w:szCs w:val="40"/>
        </w:rPr>
      </w:pPr>
      <w:r w:rsidRPr="00B270C3">
        <w:rPr>
          <w:b/>
          <w:color w:val="FF0066"/>
          <w:sz w:val="40"/>
          <w:szCs w:val="40"/>
        </w:rPr>
        <w:t xml:space="preserve">Partie récurrente </w:t>
      </w:r>
    </w:p>
    <w:p w14:paraId="00E5F8FB" w14:textId="77777777" w:rsidR="00477327" w:rsidRPr="00D903CD" w:rsidRDefault="00477327" w:rsidP="00BE31F3">
      <w:pPr>
        <w:spacing w:after="0" w:line="240" w:lineRule="auto"/>
        <w:ind w:right="17"/>
        <w:rPr>
          <w:color w:val="000000" w:themeColor="text1"/>
        </w:rPr>
      </w:pPr>
    </w:p>
    <w:p w14:paraId="118D5BA0" w14:textId="77777777" w:rsidR="00AD5423" w:rsidRDefault="00F13685" w:rsidP="00EA01B5">
      <w:pPr>
        <w:spacing w:after="0" w:line="240" w:lineRule="auto"/>
        <w:ind w:right="17"/>
        <w:jc w:val="center"/>
        <w:rPr>
          <w:i/>
        </w:rPr>
      </w:pPr>
      <w:r w:rsidRPr="00D903CD">
        <w:rPr>
          <w:i/>
        </w:rPr>
        <w:t xml:space="preserve">1 - </w:t>
      </w:r>
      <w:r w:rsidR="00AD5423" w:rsidRPr="00D903CD">
        <w:rPr>
          <w:i/>
        </w:rPr>
        <w:t>Tendance sur l'activité de l'entreprise</w:t>
      </w:r>
    </w:p>
    <w:p w14:paraId="7700C391" w14:textId="77777777" w:rsidR="00C646FD" w:rsidRDefault="00C646FD" w:rsidP="00EA01B5">
      <w:pPr>
        <w:spacing w:after="0" w:line="240" w:lineRule="auto"/>
        <w:ind w:right="17"/>
        <w:jc w:val="center"/>
        <w:rPr>
          <w:i/>
        </w:rPr>
      </w:pPr>
    </w:p>
    <w:p w14:paraId="735B9117" w14:textId="2892A027" w:rsidR="00C646FD" w:rsidRDefault="00746B27" w:rsidP="00746B27">
      <w:pPr>
        <w:ind w:right="16"/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1C16CA5E" wp14:editId="315E3597">
            <wp:extent cx="5810250" cy="3048000"/>
            <wp:effectExtent l="0" t="0" r="0" b="0"/>
            <wp:docPr id="16" name="Graphique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DA07E2" w14:textId="742818D6" w:rsidR="00654671" w:rsidRPr="00D903CD" w:rsidRDefault="00F94C26" w:rsidP="00BD78DB">
      <w:pPr>
        <w:ind w:right="16"/>
        <w:jc w:val="both"/>
        <w:rPr>
          <w:noProof/>
          <w:lang w:eastAsia="fr-FR"/>
        </w:rPr>
      </w:pPr>
      <w:r>
        <w:rPr>
          <w:noProof/>
          <w:lang w:eastAsia="fr-FR"/>
        </w:rPr>
        <w:t>Pour ce</w:t>
      </w:r>
      <w:r w:rsidR="001546DD" w:rsidRPr="00D903CD">
        <w:rPr>
          <w:noProof/>
          <w:lang w:eastAsia="fr-FR"/>
        </w:rPr>
        <w:t xml:space="preserve"> </w:t>
      </w:r>
      <w:r w:rsidR="00EE0863">
        <w:rPr>
          <w:noProof/>
          <w:lang w:eastAsia="fr-FR"/>
        </w:rPr>
        <w:t>deuxième t</w:t>
      </w:r>
      <w:r w:rsidR="003560C1" w:rsidRPr="00D903CD">
        <w:rPr>
          <w:noProof/>
          <w:lang w:eastAsia="fr-FR"/>
        </w:rPr>
        <w:t>rimestre 20</w:t>
      </w:r>
      <w:r w:rsidR="00487BB4" w:rsidRPr="00D903CD">
        <w:rPr>
          <w:noProof/>
          <w:lang w:eastAsia="fr-FR"/>
        </w:rPr>
        <w:t>2</w:t>
      </w:r>
      <w:r w:rsidR="001F39F2">
        <w:rPr>
          <w:noProof/>
          <w:lang w:eastAsia="fr-FR"/>
        </w:rPr>
        <w:t>2</w:t>
      </w:r>
      <w:r w:rsidR="003560C1" w:rsidRPr="00D903CD">
        <w:rPr>
          <w:noProof/>
          <w:lang w:eastAsia="fr-FR"/>
        </w:rPr>
        <w:t>,</w:t>
      </w:r>
      <w:r w:rsidR="00C7021B" w:rsidRPr="00C7021B">
        <w:rPr>
          <w:noProof/>
          <w:lang w:eastAsia="fr-FR"/>
        </w:rPr>
        <w:t xml:space="preserve"> </w:t>
      </w:r>
      <w:r w:rsidR="00175BED">
        <w:rPr>
          <w:noProof/>
          <w:lang w:eastAsia="fr-FR"/>
        </w:rPr>
        <w:t>l</w:t>
      </w:r>
      <w:r w:rsidR="00175BED" w:rsidRPr="00D903CD">
        <w:rPr>
          <w:noProof/>
          <w:lang w:eastAsia="fr-FR"/>
        </w:rPr>
        <w:t xml:space="preserve">e taux </w:t>
      </w:r>
      <w:r w:rsidR="00175BED">
        <w:rPr>
          <w:noProof/>
          <w:lang w:eastAsia="fr-FR"/>
        </w:rPr>
        <w:t xml:space="preserve">d’optimsites </w:t>
      </w:r>
      <w:r w:rsidR="000E1BD0">
        <w:rPr>
          <w:noProof/>
          <w:lang w:eastAsia="fr-FR"/>
        </w:rPr>
        <w:t>reste</w:t>
      </w:r>
      <w:r w:rsidR="00175BED">
        <w:rPr>
          <w:noProof/>
          <w:lang w:eastAsia="fr-FR"/>
        </w:rPr>
        <w:t xml:space="preserve"> </w:t>
      </w:r>
      <w:r w:rsidR="00746B27">
        <w:rPr>
          <w:noProof/>
          <w:lang w:eastAsia="fr-FR"/>
        </w:rPr>
        <w:t xml:space="preserve">identique </w:t>
      </w:r>
      <w:r w:rsidR="00175BED" w:rsidRPr="00D903CD">
        <w:rPr>
          <w:noProof/>
          <w:lang w:eastAsia="fr-FR"/>
        </w:rPr>
        <w:t>(</w:t>
      </w:r>
      <w:r w:rsidR="001F39F2">
        <w:rPr>
          <w:noProof/>
          <w:lang w:eastAsia="fr-FR"/>
        </w:rPr>
        <w:t>10</w:t>
      </w:r>
      <w:r w:rsidR="00175BED">
        <w:rPr>
          <w:noProof/>
          <w:lang w:eastAsia="fr-FR"/>
        </w:rPr>
        <w:t>,</w:t>
      </w:r>
      <w:r w:rsidR="001F39F2">
        <w:rPr>
          <w:noProof/>
          <w:lang w:eastAsia="fr-FR"/>
        </w:rPr>
        <w:t>9</w:t>
      </w:r>
      <w:r w:rsidR="00175BED">
        <w:rPr>
          <w:noProof/>
          <w:lang w:eastAsia="fr-FR"/>
        </w:rPr>
        <w:t>%</w:t>
      </w:r>
      <w:r w:rsidR="008A005A">
        <w:rPr>
          <w:noProof/>
          <w:lang w:eastAsia="fr-FR"/>
        </w:rPr>
        <w:t>)</w:t>
      </w:r>
      <w:r w:rsidR="00F5421B">
        <w:rPr>
          <w:noProof/>
          <w:lang w:eastAsia="fr-FR"/>
        </w:rPr>
        <w:t xml:space="preserve">, </w:t>
      </w:r>
      <w:r w:rsidR="00C7021B" w:rsidRPr="00D903CD">
        <w:rPr>
          <w:noProof/>
          <w:lang w:eastAsia="fr-FR"/>
        </w:rPr>
        <w:t>le taux d</w:t>
      </w:r>
      <w:r w:rsidR="00175BED">
        <w:rPr>
          <w:noProof/>
          <w:lang w:eastAsia="fr-FR"/>
        </w:rPr>
        <w:t xml:space="preserve">’indécis </w:t>
      </w:r>
      <w:r w:rsidR="000E1BD0">
        <w:rPr>
          <w:noProof/>
          <w:lang w:eastAsia="fr-FR"/>
        </w:rPr>
        <w:t xml:space="preserve">a </w:t>
      </w:r>
      <w:r w:rsidR="005F5F96">
        <w:rPr>
          <w:noProof/>
          <w:lang w:eastAsia="fr-FR"/>
        </w:rPr>
        <w:t>légérement augmenté</w:t>
      </w:r>
      <w:r w:rsidR="000E1BD0">
        <w:rPr>
          <w:noProof/>
          <w:lang w:eastAsia="fr-FR"/>
        </w:rPr>
        <w:t xml:space="preserve"> </w:t>
      </w:r>
      <w:r w:rsidR="00C7021B" w:rsidRPr="00D903CD">
        <w:rPr>
          <w:noProof/>
          <w:lang w:eastAsia="fr-FR"/>
        </w:rPr>
        <w:t>(</w:t>
      </w:r>
      <w:r w:rsidR="00175BED">
        <w:rPr>
          <w:noProof/>
          <w:lang w:eastAsia="fr-FR"/>
        </w:rPr>
        <w:t>5</w:t>
      </w:r>
      <w:r w:rsidR="005F5F96">
        <w:rPr>
          <w:noProof/>
          <w:lang w:eastAsia="fr-FR"/>
        </w:rPr>
        <w:t>7</w:t>
      </w:r>
      <w:r w:rsidR="000E1BD0">
        <w:rPr>
          <w:noProof/>
          <w:lang w:eastAsia="fr-FR"/>
        </w:rPr>
        <w:t>,</w:t>
      </w:r>
      <w:r w:rsidR="005F5F96">
        <w:rPr>
          <w:noProof/>
          <w:lang w:eastAsia="fr-FR"/>
        </w:rPr>
        <w:t>1</w:t>
      </w:r>
      <w:r w:rsidR="00175BED">
        <w:rPr>
          <w:noProof/>
          <w:lang w:eastAsia="fr-FR"/>
        </w:rPr>
        <w:t>%</w:t>
      </w:r>
      <w:r w:rsidR="00C7021B" w:rsidRPr="00D903CD">
        <w:rPr>
          <w:noProof/>
          <w:lang w:eastAsia="fr-FR"/>
        </w:rPr>
        <w:t xml:space="preserve"> vs </w:t>
      </w:r>
      <w:r w:rsidR="001F39F2">
        <w:rPr>
          <w:noProof/>
          <w:lang w:eastAsia="fr-FR"/>
        </w:rPr>
        <w:t>5</w:t>
      </w:r>
      <w:r w:rsidR="005F5F96">
        <w:rPr>
          <w:noProof/>
          <w:lang w:eastAsia="fr-FR"/>
        </w:rPr>
        <w:t>4</w:t>
      </w:r>
      <w:r w:rsidR="001F39F2">
        <w:rPr>
          <w:noProof/>
          <w:lang w:eastAsia="fr-FR"/>
        </w:rPr>
        <w:t>,</w:t>
      </w:r>
      <w:r w:rsidR="005F5F96">
        <w:rPr>
          <w:noProof/>
          <w:lang w:eastAsia="fr-FR"/>
        </w:rPr>
        <w:t>5</w:t>
      </w:r>
      <w:r w:rsidR="00C7021B" w:rsidRPr="00D903CD">
        <w:rPr>
          <w:noProof/>
          <w:lang w:eastAsia="fr-FR"/>
        </w:rPr>
        <w:t>%)</w:t>
      </w:r>
      <w:r w:rsidR="00C7021B">
        <w:rPr>
          <w:noProof/>
          <w:lang w:eastAsia="fr-FR"/>
        </w:rPr>
        <w:t xml:space="preserve"> </w:t>
      </w:r>
      <w:r w:rsidR="000E1BD0">
        <w:rPr>
          <w:noProof/>
          <w:lang w:eastAsia="fr-FR"/>
        </w:rPr>
        <w:t xml:space="preserve">alors </w:t>
      </w:r>
      <w:r w:rsidR="001F39F2">
        <w:rPr>
          <w:noProof/>
          <w:lang w:eastAsia="fr-FR"/>
        </w:rPr>
        <w:t xml:space="preserve">que le taux </w:t>
      </w:r>
      <w:r w:rsidR="00175BED">
        <w:rPr>
          <w:noProof/>
          <w:lang w:eastAsia="fr-FR"/>
        </w:rPr>
        <w:t>de pessimistes</w:t>
      </w:r>
      <w:r w:rsidR="000E1BD0">
        <w:rPr>
          <w:noProof/>
          <w:lang w:eastAsia="fr-FR"/>
        </w:rPr>
        <w:t xml:space="preserve"> diminue </w:t>
      </w:r>
      <w:r w:rsidR="00175BED">
        <w:rPr>
          <w:noProof/>
          <w:lang w:eastAsia="fr-FR"/>
        </w:rPr>
        <w:t>(</w:t>
      </w:r>
      <w:r w:rsidR="001F39F2">
        <w:rPr>
          <w:noProof/>
          <w:lang w:eastAsia="fr-FR"/>
        </w:rPr>
        <w:t>2</w:t>
      </w:r>
      <w:r w:rsidR="005F5F96">
        <w:rPr>
          <w:noProof/>
          <w:lang w:eastAsia="fr-FR"/>
        </w:rPr>
        <w:t>6</w:t>
      </w:r>
      <w:r w:rsidR="001F39F2">
        <w:rPr>
          <w:noProof/>
          <w:lang w:eastAsia="fr-FR"/>
        </w:rPr>
        <w:t>,</w:t>
      </w:r>
      <w:r w:rsidR="005F5F96">
        <w:rPr>
          <w:noProof/>
          <w:lang w:eastAsia="fr-FR"/>
        </w:rPr>
        <w:t>7</w:t>
      </w:r>
      <w:r w:rsidR="00A364F7" w:rsidRPr="00D903CD">
        <w:rPr>
          <w:noProof/>
          <w:lang w:eastAsia="fr-FR"/>
        </w:rPr>
        <w:t xml:space="preserve">% vs </w:t>
      </w:r>
      <w:r w:rsidR="000E1BD0">
        <w:rPr>
          <w:noProof/>
          <w:lang w:eastAsia="fr-FR"/>
        </w:rPr>
        <w:t>2</w:t>
      </w:r>
      <w:r w:rsidR="005F5F96">
        <w:rPr>
          <w:noProof/>
          <w:lang w:eastAsia="fr-FR"/>
        </w:rPr>
        <w:t>9</w:t>
      </w:r>
      <w:r w:rsidR="000E1BD0">
        <w:rPr>
          <w:noProof/>
          <w:lang w:eastAsia="fr-FR"/>
        </w:rPr>
        <w:t>,</w:t>
      </w:r>
      <w:r w:rsidR="005F5F96">
        <w:rPr>
          <w:noProof/>
          <w:lang w:eastAsia="fr-FR"/>
        </w:rPr>
        <w:t>3</w:t>
      </w:r>
      <w:r w:rsidR="00A364F7" w:rsidRPr="00D903CD">
        <w:rPr>
          <w:noProof/>
          <w:lang w:eastAsia="fr-FR"/>
        </w:rPr>
        <w:t>%)</w:t>
      </w:r>
      <w:r w:rsidR="00175BED">
        <w:rPr>
          <w:noProof/>
          <w:lang w:eastAsia="fr-FR"/>
        </w:rPr>
        <w:t>.</w:t>
      </w:r>
      <w:r w:rsidR="00C7021B">
        <w:rPr>
          <w:noProof/>
          <w:lang w:eastAsia="fr-FR"/>
        </w:rPr>
        <w:t xml:space="preserve"> </w:t>
      </w:r>
    </w:p>
    <w:p w14:paraId="396D2B90" w14:textId="77777777" w:rsidR="004E2900" w:rsidRDefault="004E2900" w:rsidP="00477327">
      <w:pPr>
        <w:ind w:right="16"/>
        <w:jc w:val="center"/>
        <w:rPr>
          <w:i/>
        </w:rPr>
      </w:pPr>
    </w:p>
    <w:p w14:paraId="2C2D1193" w14:textId="77777777" w:rsidR="00AD5423" w:rsidRPr="00EE0863" w:rsidRDefault="00AD5423" w:rsidP="00477327">
      <w:pPr>
        <w:ind w:right="16"/>
        <w:jc w:val="center"/>
        <w:rPr>
          <w:i/>
          <w:color w:val="FF0000"/>
        </w:rPr>
      </w:pPr>
      <w:r w:rsidRPr="00EE0863">
        <w:rPr>
          <w:i/>
          <w:color w:val="FF0000"/>
        </w:rPr>
        <w:t>Répartition par tranche d'âge de cette tendance</w:t>
      </w:r>
    </w:p>
    <w:p w14:paraId="5807FB35" w14:textId="5A74DF62" w:rsidR="00AD5423" w:rsidRPr="00D903CD" w:rsidRDefault="000E1BD0" w:rsidP="00AD542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50AA9B20" wp14:editId="3C0E0360">
            <wp:extent cx="6067425" cy="2867025"/>
            <wp:effectExtent l="0" t="0" r="9525" b="9525"/>
            <wp:docPr id="19" name="Graphique 1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53D130B" w14:textId="36ADE228" w:rsidR="00AF375F" w:rsidRPr="00D903CD" w:rsidRDefault="00C646FD" w:rsidP="00BD78DB">
      <w:pPr>
        <w:ind w:right="16"/>
        <w:jc w:val="both"/>
      </w:pPr>
      <w:r>
        <w:t>Ce trimestre</w:t>
      </w:r>
      <w:r w:rsidR="00175BED">
        <w:t>,</w:t>
      </w:r>
      <w:r>
        <w:t xml:space="preserve"> l</w:t>
      </w:r>
      <w:r w:rsidR="00F94C26">
        <w:t xml:space="preserve">’ensemble </w:t>
      </w:r>
      <w:r w:rsidR="00372CC3" w:rsidRPr="00D903CD">
        <w:t xml:space="preserve">des dirigeants de TPE </w:t>
      </w:r>
      <w:r>
        <w:t>ayant moi</w:t>
      </w:r>
      <w:r w:rsidR="00175BED">
        <w:t>n</w:t>
      </w:r>
      <w:r>
        <w:t xml:space="preserve">s de </w:t>
      </w:r>
      <w:r w:rsidR="00175BED">
        <w:t>5</w:t>
      </w:r>
      <w:r>
        <w:t>0 ans pr</w:t>
      </w:r>
      <w:r w:rsidR="00487BB4" w:rsidRPr="00D903CD">
        <w:t>évoi</w:t>
      </w:r>
      <w:r w:rsidR="002567AA" w:rsidRPr="00D903CD">
        <w:t>ent</w:t>
      </w:r>
      <w:r w:rsidR="00487BB4" w:rsidRPr="00D903CD">
        <w:t xml:space="preserve"> </w:t>
      </w:r>
      <w:r w:rsidR="009A37B5">
        <w:t>une hausse de leur</w:t>
      </w:r>
      <w:r w:rsidR="00487BB4" w:rsidRPr="00D903CD">
        <w:t xml:space="preserve"> CA </w:t>
      </w:r>
      <w:r w:rsidR="00922F17" w:rsidRPr="00D903CD">
        <w:t>(</w:t>
      </w:r>
      <w:r w:rsidR="003B17D5">
        <w:t xml:space="preserve">de </w:t>
      </w:r>
      <w:r w:rsidR="000D5020">
        <w:t>1</w:t>
      </w:r>
      <w:r w:rsidR="000E1BD0">
        <w:t>2</w:t>
      </w:r>
      <w:r w:rsidR="000D5020">
        <w:t>,</w:t>
      </w:r>
      <w:r w:rsidR="000E1BD0">
        <w:t>3</w:t>
      </w:r>
      <w:r w:rsidR="000D5020">
        <w:t>%</w:t>
      </w:r>
      <w:r w:rsidR="003B17D5">
        <w:t xml:space="preserve"> </w:t>
      </w:r>
      <w:r w:rsidR="000D5020">
        <w:t>et 1</w:t>
      </w:r>
      <w:r w:rsidR="000E1BD0">
        <w:t>3</w:t>
      </w:r>
      <w:r w:rsidR="000D5020">
        <w:t>,</w:t>
      </w:r>
      <w:r w:rsidR="000E1BD0">
        <w:t>3</w:t>
      </w:r>
      <w:r w:rsidR="009A37B5">
        <w:t xml:space="preserve">%) tandis que les plus de 50 ans sont plus pessimistes et prévoient une </w:t>
      </w:r>
      <w:r w:rsidR="00561E06">
        <w:t xml:space="preserve">baisse </w:t>
      </w:r>
      <w:r w:rsidR="00AF375F" w:rsidRPr="00D903CD">
        <w:t>de leur activité</w:t>
      </w:r>
      <w:r w:rsidR="009A37B5">
        <w:t xml:space="preserve"> (</w:t>
      </w:r>
      <w:r w:rsidR="000D5020">
        <w:t>3</w:t>
      </w:r>
      <w:r w:rsidR="000E1BD0">
        <w:t>0</w:t>
      </w:r>
      <w:r w:rsidR="000D5020">
        <w:t>,</w:t>
      </w:r>
      <w:r w:rsidR="000E1BD0">
        <w:t>4</w:t>
      </w:r>
      <w:r w:rsidR="009A37B5">
        <w:t xml:space="preserve">% et </w:t>
      </w:r>
      <w:r w:rsidR="000D5020">
        <w:t>28,</w:t>
      </w:r>
      <w:r w:rsidR="000E1BD0">
        <w:t>1</w:t>
      </w:r>
      <w:r w:rsidR="009A37B5">
        <w:t>%)</w:t>
      </w:r>
      <w:r w:rsidR="002567AA" w:rsidRPr="00D903CD">
        <w:t>.</w:t>
      </w:r>
    </w:p>
    <w:p w14:paraId="53107153" w14:textId="77777777" w:rsidR="00AD5423" w:rsidRDefault="002567AA" w:rsidP="00BD78DB">
      <w:pPr>
        <w:ind w:right="16"/>
        <w:jc w:val="both"/>
      </w:pPr>
      <w:r w:rsidRPr="00D903CD">
        <w:t xml:space="preserve">  </w:t>
      </w:r>
      <w:r w:rsidR="00A37C28" w:rsidRPr="00D903CD">
        <w:t xml:space="preserve"> </w:t>
      </w:r>
    </w:p>
    <w:p w14:paraId="38D85F4F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lastRenderedPageBreak/>
        <w:t>Répartition par secteur de cette tendance</w:t>
      </w:r>
    </w:p>
    <w:p w14:paraId="5FCD3197" w14:textId="346FCEA7" w:rsidR="003B17D5" w:rsidRPr="003B17D5" w:rsidRDefault="005F251B" w:rsidP="003B17D5">
      <w:pPr>
        <w:tabs>
          <w:tab w:val="left" w:pos="2001"/>
        </w:tabs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4057A559" wp14:editId="45BDF555">
            <wp:extent cx="6833870" cy="3491865"/>
            <wp:effectExtent l="0" t="0" r="5080" b="13335"/>
            <wp:docPr id="20" name="Graphique 2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F44A2A" w14:textId="1B85F4D4" w:rsidR="003B17D5" w:rsidRDefault="00331240" w:rsidP="00F22259">
      <w:pPr>
        <w:ind w:right="16"/>
      </w:pPr>
      <w:r>
        <w:t>L</w:t>
      </w:r>
      <w:r w:rsidR="003B17D5">
        <w:t>e</w:t>
      </w:r>
      <w:r w:rsidR="00F5421B">
        <w:t>s</w:t>
      </w:r>
      <w:r w:rsidR="00C646FD">
        <w:t xml:space="preserve"> secteur</w:t>
      </w:r>
      <w:r w:rsidR="00F5421B">
        <w:t>s</w:t>
      </w:r>
      <w:r w:rsidR="00C646FD">
        <w:t xml:space="preserve"> d</w:t>
      </w:r>
      <w:r w:rsidR="009A37B5">
        <w:t>e</w:t>
      </w:r>
      <w:r w:rsidR="00C646FD">
        <w:t xml:space="preserve"> </w:t>
      </w:r>
      <w:r w:rsidR="009A37B5">
        <w:t xml:space="preserve">la </w:t>
      </w:r>
      <w:r w:rsidR="00C646FD">
        <w:t>«</w:t>
      </w:r>
      <w:r w:rsidR="005F251B">
        <w:t>Culture et Loisirs</w:t>
      </w:r>
      <w:r w:rsidR="00C646FD">
        <w:t> »</w:t>
      </w:r>
      <w:r w:rsidR="003B17D5">
        <w:t xml:space="preserve"> </w:t>
      </w:r>
      <w:r w:rsidR="009A37B5">
        <w:t xml:space="preserve"> </w:t>
      </w:r>
      <w:r w:rsidR="00C646FD">
        <w:t>(</w:t>
      </w:r>
      <w:r w:rsidR="005F251B">
        <w:t>20,0</w:t>
      </w:r>
      <w:r w:rsidR="00C646FD">
        <w:t>%)</w:t>
      </w:r>
      <w:r w:rsidR="00F5421B">
        <w:t>,</w:t>
      </w:r>
      <w:r w:rsidR="00C646FD">
        <w:t xml:space="preserve"> </w:t>
      </w:r>
      <w:r w:rsidR="000902FF">
        <w:t>« Transports » (1</w:t>
      </w:r>
      <w:r w:rsidR="005F251B">
        <w:t>7</w:t>
      </w:r>
      <w:r w:rsidR="000902FF">
        <w:t>,</w:t>
      </w:r>
      <w:r w:rsidR="005F251B">
        <w:t>0</w:t>
      </w:r>
      <w:r w:rsidR="000902FF">
        <w:t>%) et</w:t>
      </w:r>
      <w:r w:rsidR="009A37B5">
        <w:t>« </w:t>
      </w:r>
      <w:r w:rsidR="005F251B">
        <w:t>Equipement de la maison</w:t>
      </w:r>
      <w:r w:rsidR="009A37B5">
        <w:t>» (1</w:t>
      </w:r>
      <w:r w:rsidR="005F251B">
        <w:t>6</w:t>
      </w:r>
      <w:r w:rsidR="000D5020">
        <w:t>,</w:t>
      </w:r>
      <w:r w:rsidR="005F251B">
        <w:t>7</w:t>
      </w:r>
      <w:r w:rsidR="000902FF">
        <w:t>%)</w:t>
      </w:r>
      <w:r w:rsidR="001209A6">
        <w:t>,</w:t>
      </w:r>
      <w:r w:rsidR="008631E0">
        <w:t xml:space="preserve"> </w:t>
      </w:r>
      <w:r w:rsidR="000B198C">
        <w:t xml:space="preserve">sont les seuls à prévoir une hausse d’activité </w:t>
      </w:r>
      <w:r w:rsidR="00190631">
        <w:t xml:space="preserve">pour ce </w:t>
      </w:r>
      <w:r w:rsidR="005F251B">
        <w:t xml:space="preserve">second </w:t>
      </w:r>
      <w:r w:rsidR="00190631">
        <w:t>trimestre</w:t>
      </w:r>
      <w:r w:rsidR="009A37B5">
        <w:t xml:space="preserve"> 202</w:t>
      </w:r>
      <w:r w:rsidR="000902FF">
        <w:t>2</w:t>
      </w:r>
      <w:r w:rsidR="00190631">
        <w:t>.</w:t>
      </w:r>
      <w:r w:rsidR="005775CC">
        <w:t xml:space="preserve"> </w:t>
      </w:r>
      <w:r w:rsidR="00B60D00">
        <w:t>Les</w:t>
      </w:r>
      <w:r w:rsidR="005775CC">
        <w:t xml:space="preserve"> autres secteurs</w:t>
      </w:r>
      <w:r w:rsidR="000B198C">
        <w:t xml:space="preserve"> </w:t>
      </w:r>
      <w:r w:rsidR="005775CC">
        <w:t>prévoient une baisse d’activité</w:t>
      </w:r>
      <w:r w:rsidR="009F7637">
        <w:t>,</w:t>
      </w:r>
      <w:r w:rsidR="005775CC">
        <w:t xml:space="preserve"> le secteur </w:t>
      </w:r>
      <w:r w:rsidR="000902FF">
        <w:t>« </w:t>
      </w:r>
      <w:r w:rsidR="005F251B">
        <w:t>Services</w:t>
      </w:r>
      <w:r w:rsidR="000902FF">
        <w:t> » (5</w:t>
      </w:r>
      <w:r w:rsidR="005F251B">
        <w:t>0</w:t>
      </w:r>
      <w:r w:rsidR="000902FF">
        <w:t>,</w:t>
      </w:r>
      <w:r w:rsidR="005F251B">
        <w:t>0</w:t>
      </w:r>
      <w:r w:rsidR="000902FF">
        <w:t>%), « Commerce de détail alimentaire » (</w:t>
      </w:r>
      <w:r w:rsidR="005F251B">
        <w:t>42,9</w:t>
      </w:r>
      <w:r w:rsidR="000902FF">
        <w:t xml:space="preserve">%), « Equipement de la personne » </w:t>
      </w:r>
      <w:r w:rsidR="009F7637">
        <w:t>(</w:t>
      </w:r>
      <w:r w:rsidR="005F251B">
        <w:t>38,5</w:t>
      </w:r>
      <w:r w:rsidR="009F7637">
        <w:t>%),</w:t>
      </w:r>
      <w:r w:rsidR="008631E0">
        <w:t xml:space="preserve"> </w:t>
      </w:r>
      <w:r w:rsidR="000902FF">
        <w:t>« </w:t>
      </w:r>
      <w:r w:rsidR="009A37B5">
        <w:t>Beauté Esthétique »</w:t>
      </w:r>
      <w:r w:rsidR="005F251B">
        <w:t xml:space="preserve">, « Santé » et « Bâtiment » </w:t>
      </w:r>
      <w:r w:rsidR="008631E0">
        <w:t xml:space="preserve"> (</w:t>
      </w:r>
      <w:r w:rsidR="005F251B">
        <w:t>29,5</w:t>
      </w:r>
      <w:r w:rsidR="008631E0">
        <w:t>%</w:t>
      </w:r>
      <w:r w:rsidR="005F251B">
        <w:t xml:space="preserve"> et 29,0%</w:t>
      </w:r>
      <w:r w:rsidR="008631E0">
        <w:t>) suivis des  secteurs</w:t>
      </w:r>
      <w:r w:rsidR="000902FF">
        <w:t xml:space="preserve"> « Automobile</w:t>
      </w:r>
      <w:r w:rsidR="009A37B5">
        <w:t xml:space="preserve"> » </w:t>
      </w:r>
      <w:r w:rsidR="000902FF">
        <w:t xml:space="preserve">et « Culture et Loisirs » </w:t>
      </w:r>
      <w:r w:rsidR="006A5190">
        <w:t>(</w:t>
      </w:r>
      <w:r w:rsidR="005F251B">
        <w:t>27,0</w:t>
      </w:r>
      <w:r w:rsidR="00190631">
        <w:t>%</w:t>
      </w:r>
      <w:r w:rsidR="006A5190">
        <w:t>)</w:t>
      </w:r>
      <w:r w:rsidR="00E37F63">
        <w:t xml:space="preserve"> </w:t>
      </w:r>
      <w:r w:rsidR="008631E0">
        <w:t xml:space="preserve">et </w:t>
      </w:r>
      <w:r w:rsidR="00190631">
        <w:t>(</w:t>
      </w:r>
      <w:r w:rsidR="00400F2C">
        <w:t>26,7</w:t>
      </w:r>
      <w:r w:rsidR="00E37F63">
        <w:t>%). Les secteurs « </w:t>
      </w:r>
      <w:r w:rsidR="00400F2C">
        <w:t xml:space="preserve">Equipement de la maison » et </w:t>
      </w:r>
      <w:r w:rsidR="00E37F63">
        <w:t>« </w:t>
      </w:r>
      <w:r w:rsidR="00400F2C">
        <w:t>Auto</w:t>
      </w:r>
      <w:r w:rsidR="00E37F63">
        <w:t> » prévoient une stabilité de leur activité (</w:t>
      </w:r>
      <w:r w:rsidR="00400F2C">
        <w:t>66,7</w:t>
      </w:r>
      <w:r w:rsidR="00E37F63">
        <w:t>%)</w:t>
      </w:r>
      <w:r w:rsidR="00400F2C">
        <w:t xml:space="preserve">. </w:t>
      </w:r>
    </w:p>
    <w:p w14:paraId="7FCE2511" w14:textId="77777777" w:rsidR="009F7637" w:rsidRDefault="00AD5423" w:rsidP="00AD5423">
      <w:pPr>
        <w:tabs>
          <w:tab w:val="left" w:pos="2907"/>
          <w:tab w:val="center" w:pos="5225"/>
        </w:tabs>
        <w:ind w:right="16"/>
        <w:rPr>
          <w:i/>
        </w:rPr>
      </w:pPr>
      <w:r w:rsidRPr="00D903CD">
        <w:rPr>
          <w:i/>
        </w:rPr>
        <w:tab/>
      </w:r>
      <w:r w:rsidRPr="00D903CD">
        <w:rPr>
          <w:i/>
        </w:rPr>
        <w:tab/>
      </w:r>
    </w:p>
    <w:p w14:paraId="2270E807" w14:textId="77777777" w:rsidR="00AD5423" w:rsidRPr="00D903CD" w:rsidRDefault="00F13685" w:rsidP="009F7637">
      <w:pPr>
        <w:tabs>
          <w:tab w:val="left" w:pos="2907"/>
          <w:tab w:val="center" w:pos="5225"/>
        </w:tabs>
        <w:ind w:right="16"/>
        <w:jc w:val="center"/>
        <w:rPr>
          <w:i/>
        </w:rPr>
      </w:pPr>
      <w:r w:rsidRPr="00D903CD">
        <w:rPr>
          <w:i/>
        </w:rPr>
        <w:t xml:space="preserve">2 - </w:t>
      </w:r>
      <w:r w:rsidR="00AD5423" w:rsidRPr="00D903CD">
        <w:rPr>
          <w:i/>
        </w:rPr>
        <w:t>Investis</w:t>
      </w:r>
      <w:r w:rsidR="00833005" w:rsidRPr="00D903CD">
        <w:rPr>
          <w:i/>
        </w:rPr>
        <w:t>s</w:t>
      </w:r>
      <w:r w:rsidR="00AD5423" w:rsidRPr="00D903CD">
        <w:rPr>
          <w:i/>
        </w:rPr>
        <w:t>ements</w:t>
      </w:r>
    </w:p>
    <w:p w14:paraId="608208EB" w14:textId="21CAFD6D" w:rsidR="00AD5423" w:rsidRPr="00D903CD" w:rsidRDefault="00400F2C" w:rsidP="00AD542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03690B7A" wp14:editId="74371C3D">
            <wp:extent cx="5857875" cy="3019425"/>
            <wp:effectExtent l="0" t="0" r="9525" b="9525"/>
            <wp:docPr id="21" name="Graphique 2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79CF7EF" w14:textId="4F9FEDF9" w:rsidR="00F13685" w:rsidRPr="00D903CD" w:rsidRDefault="006054BC" w:rsidP="00AD5423">
      <w:pPr>
        <w:ind w:right="16"/>
      </w:pPr>
      <w:r w:rsidRPr="00D903CD">
        <w:t>L</w:t>
      </w:r>
      <w:r w:rsidR="006B1ABB" w:rsidRPr="00D903CD">
        <w:t>es</w:t>
      </w:r>
      <w:r w:rsidR="00AD5423" w:rsidRPr="00D903CD">
        <w:t xml:space="preserve"> projets d'investissement</w:t>
      </w:r>
      <w:r w:rsidR="002567AA" w:rsidRPr="00D903CD">
        <w:t>s</w:t>
      </w:r>
      <w:r w:rsidR="00AD5423" w:rsidRPr="00D903CD">
        <w:t xml:space="preserve"> </w:t>
      </w:r>
      <w:r w:rsidR="00E37F63">
        <w:t xml:space="preserve">sont </w:t>
      </w:r>
      <w:r w:rsidR="005E0180">
        <w:t xml:space="preserve">quasiment stables </w:t>
      </w:r>
      <w:r w:rsidR="00174CDE" w:rsidRPr="00D903CD">
        <w:t>et concernent que 1</w:t>
      </w:r>
      <w:r w:rsidR="00E37F63">
        <w:t>4,</w:t>
      </w:r>
      <w:r w:rsidR="005E0180">
        <w:t>9</w:t>
      </w:r>
      <w:r w:rsidR="00174CDE" w:rsidRPr="00D903CD">
        <w:t>% des entreprises in</w:t>
      </w:r>
      <w:r w:rsidR="00802D2B">
        <w:t>terrogées, contre 1</w:t>
      </w:r>
      <w:r w:rsidR="005E0180">
        <w:t>4</w:t>
      </w:r>
      <w:r w:rsidR="00802D2B">
        <w:t>,</w:t>
      </w:r>
      <w:r w:rsidR="005E0180">
        <w:t>3</w:t>
      </w:r>
      <w:r w:rsidR="00AD5423" w:rsidRPr="00D903CD">
        <w:t>% au trimestre précédent.</w:t>
      </w:r>
    </w:p>
    <w:p w14:paraId="5BE0807C" w14:textId="2436309B" w:rsidR="00AD5423" w:rsidRDefault="005E0180" w:rsidP="00AD5423">
      <w:pPr>
        <w:ind w:right="16"/>
        <w:jc w:val="center"/>
        <w:rPr>
          <w:noProof/>
          <w:lang w:eastAsia="fr-FR"/>
        </w:rPr>
      </w:pPr>
      <w:r>
        <w:rPr>
          <w:noProof/>
        </w:rPr>
        <w:lastRenderedPageBreak/>
        <w:drawing>
          <wp:inline distT="0" distB="0" distL="0" distR="0" wp14:anchorId="4DF380A0" wp14:editId="119A5D8F">
            <wp:extent cx="6076950" cy="3086100"/>
            <wp:effectExtent l="0" t="0" r="0" b="0"/>
            <wp:docPr id="22" name="Graphique 2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EAE0E35" w14:textId="416110A0" w:rsidR="003D3BB2" w:rsidRPr="00D903CD" w:rsidRDefault="00FA011F" w:rsidP="003D3BB2">
      <w:pPr>
        <w:ind w:right="16"/>
        <w:jc w:val="both"/>
      </w:pPr>
      <w:r>
        <w:t>Ce trimestre, les projets d’investissements</w:t>
      </w:r>
      <w:r w:rsidR="0071009F">
        <w:t xml:space="preserve"> </w:t>
      </w:r>
      <w:r>
        <w:t xml:space="preserve">les plus concernés </w:t>
      </w:r>
      <w:r w:rsidR="0071009F">
        <w:t>s</w:t>
      </w:r>
      <w:r>
        <w:t>ont les projets d’« A</w:t>
      </w:r>
      <w:r w:rsidRPr="00D903CD">
        <w:t>ménagements-Rénovation » (</w:t>
      </w:r>
      <w:r>
        <w:t>4</w:t>
      </w:r>
      <w:r w:rsidR="004B63B3">
        <w:t>1</w:t>
      </w:r>
      <w:r>
        <w:t>,</w:t>
      </w:r>
      <w:r w:rsidR="004B63B3">
        <w:t>9</w:t>
      </w:r>
      <w:r>
        <w:t>%</w:t>
      </w:r>
      <w:r w:rsidRPr="00D903CD">
        <w:t xml:space="preserve">%) </w:t>
      </w:r>
      <w:r>
        <w:t>suivis par le poste « </w:t>
      </w:r>
      <w:r w:rsidR="003D3BB2" w:rsidRPr="00D903CD">
        <w:t>Matériel, mobilier, informatique » (</w:t>
      </w:r>
      <w:r w:rsidR="004B63B3">
        <w:t>40,8</w:t>
      </w:r>
      <w:r w:rsidR="003D3BB2" w:rsidRPr="00D903CD">
        <w:t xml:space="preserve">%) et </w:t>
      </w:r>
      <w:r w:rsidR="00B42C06">
        <w:t xml:space="preserve">par le </w:t>
      </w:r>
      <w:r w:rsidR="003D3BB2" w:rsidRPr="00D903CD">
        <w:t>poste « Autres investissements » (</w:t>
      </w:r>
      <w:r w:rsidR="004B63B3">
        <w:t>19,0</w:t>
      </w:r>
      <w:r w:rsidR="003D3BB2" w:rsidRPr="00D903CD">
        <w:t xml:space="preserve">%). </w:t>
      </w:r>
    </w:p>
    <w:p w14:paraId="0663D615" w14:textId="77777777" w:rsidR="00E328DC" w:rsidRPr="00D903CD" w:rsidRDefault="00E328DC" w:rsidP="00AD5423">
      <w:pPr>
        <w:ind w:right="16"/>
        <w:jc w:val="center"/>
        <w:rPr>
          <w:i/>
        </w:rPr>
      </w:pPr>
    </w:p>
    <w:p w14:paraId="3F189A67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t>Profil des investisseurs</w:t>
      </w:r>
    </w:p>
    <w:p w14:paraId="2DE832CB" w14:textId="2556C4C8" w:rsidR="00E328DC" w:rsidRPr="00D903CD" w:rsidRDefault="004B63B3" w:rsidP="00AD542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0CC7ECBA" wp14:editId="6CD14B4C">
            <wp:extent cx="5829300" cy="2733675"/>
            <wp:effectExtent l="0" t="0" r="0" b="9525"/>
            <wp:docPr id="23" name="Graphique 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F15343" w14:textId="5576A62A" w:rsidR="00AD5423" w:rsidRPr="00D903CD" w:rsidRDefault="00F955CE" w:rsidP="00BD78DB">
      <w:pPr>
        <w:ind w:right="16"/>
        <w:jc w:val="both"/>
      </w:pPr>
      <w:r w:rsidRPr="00D903CD">
        <w:t xml:space="preserve">Les </w:t>
      </w:r>
      <w:r w:rsidR="00AD5423" w:rsidRPr="00D903CD">
        <w:t xml:space="preserve">chefs d'entreprises qui investissent le plus ont </w:t>
      </w:r>
      <w:r w:rsidR="008D0AB4" w:rsidRPr="00D903CD">
        <w:t xml:space="preserve">moins de </w:t>
      </w:r>
      <w:r w:rsidR="006A5190">
        <w:t>5</w:t>
      </w:r>
      <w:r w:rsidR="0058651A" w:rsidRPr="00D903CD">
        <w:t>0 ans</w:t>
      </w:r>
      <w:r w:rsidR="00BD78DB" w:rsidRPr="00D903CD">
        <w:t xml:space="preserve"> </w:t>
      </w:r>
      <w:r w:rsidR="00AD5423" w:rsidRPr="00D903CD">
        <w:t>et viennent principalement d</w:t>
      </w:r>
      <w:r w:rsidR="006B1ABB" w:rsidRPr="00D903CD">
        <w:t>es</w:t>
      </w:r>
      <w:r w:rsidR="00AD5423" w:rsidRPr="00D903CD">
        <w:t xml:space="preserve"> secteur</w:t>
      </w:r>
      <w:r w:rsidR="006B1ABB" w:rsidRPr="00D903CD">
        <w:t>s</w:t>
      </w:r>
      <w:r w:rsidR="000800DE" w:rsidRPr="00D903CD">
        <w:t xml:space="preserve"> </w:t>
      </w:r>
      <w:r w:rsidR="00B446D4">
        <w:t xml:space="preserve">« Café Hôtel  Restaurant » pour 26,2 %, </w:t>
      </w:r>
      <w:r w:rsidR="00BD78DB" w:rsidRPr="00D903CD">
        <w:t>«</w:t>
      </w:r>
      <w:r w:rsidR="0071009F">
        <w:t xml:space="preserve">Commerce de détail alimentaire » </w:t>
      </w:r>
      <w:r w:rsidR="005E449F" w:rsidRPr="00D903CD">
        <w:t xml:space="preserve">pour </w:t>
      </w:r>
      <w:r w:rsidR="004B63B3">
        <w:t xml:space="preserve">19,6 </w:t>
      </w:r>
      <w:r w:rsidR="00174CDE" w:rsidRPr="00D903CD">
        <w:t>%,</w:t>
      </w:r>
      <w:r w:rsidR="00DF37C5">
        <w:t xml:space="preserve"> </w:t>
      </w:r>
      <w:r w:rsidR="001525D6">
        <w:t>suivis d</w:t>
      </w:r>
      <w:r w:rsidR="0011295F">
        <w:t xml:space="preserve">es </w:t>
      </w:r>
      <w:r w:rsidR="001525D6">
        <w:t>secteur</w:t>
      </w:r>
      <w:r w:rsidR="0011295F">
        <w:t>s</w:t>
      </w:r>
      <w:r w:rsidR="001525D6">
        <w:t xml:space="preserve"> </w:t>
      </w:r>
      <w:r w:rsidR="00DF37C5">
        <w:t>« </w:t>
      </w:r>
      <w:r w:rsidR="004B63B3">
        <w:t>Culture et Loisirs</w:t>
      </w:r>
      <w:r w:rsidR="00B60D00">
        <w:t xml:space="preserve"> </w:t>
      </w:r>
      <w:r w:rsidR="00DF37C5">
        <w:t>»</w:t>
      </w:r>
      <w:r w:rsidR="007C34DE">
        <w:t xml:space="preserve">  (</w:t>
      </w:r>
      <w:r w:rsidR="004B63B3">
        <w:t>18</w:t>
      </w:r>
      <w:r w:rsidR="007C34DE">
        <w:t>,</w:t>
      </w:r>
      <w:r w:rsidR="004B63B3">
        <w:t>8</w:t>
      </w:r>
      <w:r w:rsidR="007C34DE">
        <w:t>%)</w:t>
      </w:r>
      <w:r w:rsidR="00B60D00">
        <w:t xml:space="preserve">, </w:t>
      </w:r>
      <w:r w:rsidR="00174CDE" w:rsidRPr="00D903CD">
        <w:t>«</w:t>
      </w:r>
      <w:r w:rsidR="004B63B3">
        <w:t>transports</w:t>
      </w:r>
      <w:r w:rsidR="0071009F">
        <w:t>» (1</w:t>
      </w:r>
      <w:r w:rsidR="004B63B3">
        <w:t>5</w:t>
      </w:r>
      <w:r w:rsidR="0071009F">
        <w:t>,</w:t>
      </w:r>
      <w:r w:rsidR="00B446D4">
        <w:t>1</w:t>
      </w:r>
      <w:r w:rsidR="0011295F">
        <w:t>%) %</w:t>
      </w:r>
      <w:r w:rsidR="0071009F">
        <w:t xml:space="preserve"> et « </w:t>
      </w:r>
      <w:r w:rsidR="004B63B3">
        <w:t xml:space="preserve">Equipement de la maison </w:t>
      </w:r>
      <w:r w:rsidR="0071009F">
        <w:t>» (1</w:t>
      </w:r>
      <w:r w:rsidR="004B63B3">
        <w:t>4,8</w:t>
      </w:r>
      <w:r w:rsidR="0071009F">
        <w:t>%)</w:t>
      </w:r>
      <w:r w:rsidR="0011295F">
        <w:t xml:space="preserve">. </w:t>
      </w:r>
      <w:r w:rsidR="00DF37C5">
        <w:t>Le</w:t>
      </w:r>
      <w:r w:rsidR="0011295F">
        <w:t>s</w:t>
      </w:r>
      <w:r w:rsidR="00DF37C5">
        <w:t xml:space="preserve"> secteur</w:t>
      </w:r>
      <w:r w:rsidR="0011295F">
        <w:t>s</w:t>
      </w:r>
      <w:r w:rsidR="00DF37C5">
        <w:t xml:space="preserve"> </w:t>
      </w:r>
      <w:r w:rsidR="003D567E">
        <w:t>« </w:t>
      </w:r>
      <w:r w:rsidR="004B63B3">
        <w:t>Equipement de la personne</w:t>
      </w:r>
      <w:r w:rsidR="003D567E">
        <w:t> »</w:t>
      </w:r>
      <w:r w:rsidR="0071009F">
        <w:t xml:space="preserve"> et </w:t>
      </w:r>
      <w:r w:rsidR="003D567E">
        <w:t>«</w:t>
      </w:r>
      <w:r w:rsidR="004B63B3">
        <w:t>Auto</w:t>
      </w:r>
      <w:r w:rsidR="003D567E">
        <w:t>»</w:t>
      </w:r>
      <w:r w:rsidR="0011295F">
        <w:t xml:space="preserve"> </w:t>
      </w:r>
      <w:r w:rsidR="00DF37C5">
        <w:t>arrive</w:t>
      </w:r>
      <w:r w:rsidR="0011295F">
        <w:t>nt</w:t>
      </w:r>
      <w:r w:rsidR="00DF37C5">
        <w:t xml:space="preserve"> en dernier avec </w:t>
      </w:r>
      <w:r w:rsidR="0011295F">
        <w:t xml:space="preserve"> respectivement (</w:t>
      </w:r>
      <w:r w:rsidR="00EA2D55">
        <w:t>7,4</w:t>
      </w:r>
      <w:r w:rsidR="00DF37C5">
        <w:t>%</w:t>
      </w:r>
      <w:r w:rsidR="0011295F">
        <w:t>) et (</w:t>
      </w:r>
      <w:r w:rsidR="00EA2D55">
        <w:t>5,4</w:t>
      </w:r>
      <w:r w:rsidR="0011295F">
        <w:t>%)</w:t>
      </w:r>
      <w:r w:rsidR="00DF37C5">
        <w:t>.</w:t>
      </w:r>
    </w:p>
    <w:p w14:paraId="2814100D" w14:textId="77777777" w:rsidR="00F1713D" w:rsidRPr="00D903CD" w:rsidRDefault="00F1713D" w:rsidP="001A3A05">
      <w:pPr>
        <w:ind w:right="16"/>
        <w:jc w:val="center"/>
        <w:rPr>
          <w:i/>
        </w:rPr>
      </w:pPr>
    </w:p>
    <w:p w14:paraId="24B88CFB" w14:textId="77777777" w:rsidR="00A278C9" w:rsidRPr="00D903CD" w:rsidRDefault="00A278C9" w:rsidP="001A3A05">
      <w:pPr>
        <w:ind w:right="16"/>
        <w:jc w:val="center"/>
        <w:rPr>
          <w:i/>
        </w:rPr>
      </w:pPr>
    </w:p>
    <w:p w14:paraId="57052CE2" w14:textId="77777777" w:rsidR="00BA61AF" w:rsidRPr="00D903CD" w:rsidRDefault="00BA61AF" w:rsidP="001A3A05">
      <w:pPr>
        <w:ind w:right="16"/>
        <w:jc w:val="center"/>
        <w:rPr>
          <w:i/>
        </w:rPr>
      </w:pPr>
    </w:p>
    <w:p w14:paraId="7C97C0AD" w14:textId="77777777" w:rsidR="00BA61AF" w:rsidRPr="00D903CD" w:rsidRDefault="00BA61AF" w:rsidP="001A3A05">
      <w:pPr>
        <w:ind w:right="16"/>
        <w:jc w:val="center"/>
        <w:rPr>
          <w:i/>
        </w:rPr>
      </w:pPr>
    </w:p>
    <w:p w14:paraId="64C7A03C" w14:textId="39D5048D" w:rsidR="002C2952" w:rsidRPr="00D903CD" w:rsidRDefault="00B446D4" w:rsidP="001A3A05">
      <w:pPr>
        <w:ind w:right="16"/>
        <w:jc w:val="center"/>
        <w:rPr>
          <w:i/>
        </w:rPr>
      </w:pPr>
      <w:r>
        <w:rPr>
          <w:noProof/>
        </w:rPr>
        <w:lastRenderedPageBreak/>
        <w:drawing>
          <wp:inline distT="0" distB="0" distL="0" distR="0" wp14:anchorId="3C1C6C4A" wp14:editId="29732F45">
            <wp:extent cx="6143625" cy="4152900"/>
            <wp:effectExtent l="0" t="0" r="9525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60849C8" w14:textId="77777777" w:rsidR="0011295F" w:rsidRDefault="0011295F" w:rsidP="001A3A05">
      <w:pPr>
        <w:ind w:right="16"/>
        <w:jc w:val="center"/>
        <w:rPr>
          <w:i/>
        </w:rPr>
      </w:pPr>
    </w:p>
    <w:p w14:paraId="5703322E" w14:textId="77777777" w:rsidR="001A3A05" w:rsidRPr="00D903CD" w:rsidRDefault="001A3A05" w:rsidP="001A3A05">
      <w:pPr>
        <w:ind w:right="16"/>
        <w:jc w:val="center"/>
        <w:rPr>
          <w:i/>
        </w:rPr>
      </w:pPr>
      <w:r w:rsidRPr="00D903CD">
        <w:rPr>
          <w:i/>
        </w:rPr>
        <w:t>3 - Effectif actuel et variation d’effectif au cours des 3 derniers mois</w:t>
      </w:r>
      <w:r w:rsidR="00F13685" w:rsidRPr="00D903CD">
        <w:rPr>
          <w:i/>
        </w:rPr>
        <w:t xml:space="preserve"> et des 3 prochains mois </w:t>
      </w:r>
    </w:p>
    <w:p w14:paraId="30A8F537" w14:textId="3929DFE9" w:rsidR="00AD5423" w:rsidRPr="00D903CD" w:rsidRDefault="00AD5423" w:rsidP="00BD78DB">
      <w:pPr>
        <w:ind w:right="16"/>
        <w:jc w:val="both"/>
      </w:pPr>
      <w:r w:rsidRPr="00D903CD">
        <w:t xml:space="preserve">L’effectif moyen </w:t>
      </w:r>
      <w:r w:rsidR="00AF67BF" w:rsidRPr="00D903CD">
        <w:t xml:space="preserve">actuel </w:t>
      </w:r>
      <w:r w:rsidRPr="00D903CD">
        <w:t xml:space="preserve">est de </w:t>
      </w:r>
      <w:r w:rsidR="006F2CC7">
        <w:t>1</w:t>
      </w:r>
      <w:r w:rsidR="00B60D00">
        <w:t>,</w:t>
      </w:r>
      <w:r w:rsidR="006F2CC7">
        <w:t>23</w:t>
      </w:r>
      <w:r w:rsidR="00B60D00">
        <w:t>.</w:t>
      </w:r>
      <w:r w:rsidR="001A19BE" w:rsidRPr="00D903CD">
        <w:t xml:space="preserve"> Pour </w:t>
      </w:r>
      <w:r w:rsidR="00B60D00">
        <w:t xml:space="preserve">ce </w:t>
      </w:r>
      <w:r w:rsidR="006F2CC7">
        <w:t>second</w:t>
      </w:r>
      <w:r w:rsidR="00B60D00">
        <w:t xml:space="preserve"> trimestre 2022</w:t>
      </w:r>
      <w:r w:rsidR="00621D32" w:rsidRPr="00D903CD">
        <w:t xml:space="preserve">, </w:t>
      </w:r>
      <w:r w:rsidR="001A19BE" w:rsidRPr="00D903CD">
        <w:t xml:space="preserve">le </w:t>
      </w:r>
      <w:r w:rsidRPr="00D903CD">
        <w:t xml:space="preserve">secteur </w:t>
      </w:r>
      <w:r w:rsidR="00BD78DB" w:rsidRPr="00D903CD">
        <w:t>«</w:t>
      </w:r>
      <w:r w:rsidR="00B60D00">
        <w:t xml:space="preserve"> Bâtiment </w:t>
      </w:r>
      <w:r w:rsidRPr="00D903CD">
        <w:t>» est celui qui recense</w:t>
      </w:r>
      <w:r w:rsidR="00961756" w:rsidRPr="00D903CD">
        <w:t xml:space="preserve"> </w:t>
      </w:r>
      <w:r w:rsidRPr="00D903CD">
        <w:t>le plus d’effecti</w:t>
      </w:r>
      <w:r w:rsidR="00B60D00">
        <w:t>f</w:t>
      </w:r>
      <w:r w:rsidRPr="00D903CD">
        <w:t xml:space="preserve"> (</w:t>
      </w:r>
      <w:r w:rsidR="00141F53">
        <w:t>22,8</w:t>
      </w:r>
      <w:r w:rsidR="001A19BE" w:rsidRPr="00D903CD">
        <w:t>%</w:t>
      </w:r>
      <w:r w:rsidRPr="00D903CD">
        <w:t>)</w:t>
      </w:r>
      <w:r w:rsidR="00BD78DB" w:rsidRPr="00D903CD">
        <w:t xml:space="preserve"> </w:t>
      </w:r>
      <w:r w:rsidRPr="00D903CD">
        <w:t>suivi</w:t>
      </w:r>
      <w:r w:rsidR="004129BF">
        <w:t>s</w:t>
      </w:r>
      <w:r w:rsidRPr="00D903CD">
        <w:t xml:space="preserve"> </w:t>
      </w:r>
      <w:r w:rsidR="000800DE" w:rsidRPr="00D903CD">
        <w:t>d</w:t>
      </w:r>
      <w:r w:rsidR="00D647A7" w:rsidRPr="00D903CD">
        <w:t>es</w:t>
      </w:r>
      <w:r w:rsidR="0083144B">
        <w:t xml:space="preserve"> secteurs </w:t>
      </w:r>
      <w:r w:rsidR="00BB6FF5" w:rsidRPr="00D903CD">
        <w:t>«</w:t>
      </w:r>
      <w:r w:rsidR="00141F53">
        <w:t>Santé</w:t>
      </w:r>
      <w:r w:rsidR="00B60D00">
        <w:t xml:space="preserve"> </w:t>
      </w:r>
      <w:r w:rsidR="00BB6FF5" w:rsidRPr="00D903CD">
        <w:t>»</w:t>
      </w:r>
      <w:r w:rsidR="006B0117">
        <w:t xml:space="preserve"> </w:t>
      </w:r>
      <w:r w:rsidR="00CF4072" w:rsidRPr="00D903CD">
        <w:t>et</w:t>
      </w:r>
      <w:r w:rsidR="0083144B">
        <w:t xml:space="preserve"> « Café Hôtellerie Restauration »</w:t>
      </w:r>
      <w:r w:rsidR="00CF4072" w:rsidRPr="00D903CD">
        <w:t xml:space="preserve"> </w:t>
      </w:r>
      <w:r w:rsidR="001A19BE" w:rsidRPr="00D903CD">
        <w:t xml:space="preserve">qui </w:t>
      </w:r>
      <w:r w:rsidR="000269B8" w:rsidRPr="00D903CD">
        <w:t>affiche</w:t>
      </w:r>
      <w:r w:rsidR="001A19BE" w:rsidRPr="00D903CD">
        <w:t xml:space="preserve">nt </w:t>
      </w:r>
      <w:r w:rsidR="000269B8" w:rsidRPr="00D903CD">
        <w:t xml:space="preserve"> </w:t>
      </w:r>
      <w:r w:rsidR="00951540" w:rsidRPr="00D903CD">
        <w:t xml:space="preserve">respectivement </w:t>
      </w:r>
      <w:r w:rsidR="00141F53">
        <w:t>9</w:t>
      </w:r>
      <w:r w:rsidR="0083144B">
        <w:t>,</w:t>
      </w:r>
      <w:r w:rsidR="00141F53">
        <w:t>0</w:t>
      </w:r>
      <w:r w:rsidR="001A19BE" w:rsidRPr="00D903CD">
        <w:t xml:space="preserve">%  et </w:t>
      </w:r>
      <w:r w:rsidR="00141F53">
        <w:t>8,2</w:t>
      </w:r>
      <w:r w:rsidRPr="00D903CD">
        <w:t>%</w:t>
      </w:r>
      <w:r w:rsidR="00A657C5" w:rsidRPr="00D903CD">
        <w:t>.</w:t>
      </w:r>
      <w:r w:rsidR="00951540" w:rsidRPr="00D903CD">
        <w:t xml:space="preserve"> </w:t>
      </w:r>
      <w:r w:rsidR="00A657C5" w:rsidRPr="00D903CD">
        <w:t>L</w:t>
      </w:r>
      <w:r w:rsidR="00BD78DB" w:rsidRPr="00D903CD">
        <w:t>e secteur «</w:t>
      </w:r>
      <w:r w:rsidR="00B60D00">
        <w:t xml:space="preserve">Culture et Loisirs </w:t>
      </w:r>
      <w:r w:rsidR="000800DE" w:rsidRPr="00D903CD">
        <w:t>»</w:t>
      </w:r>
      <w:r w:rsidR="00BD78DB" w:rsidRPr="00D903CD">
        <w:t xml:space="preserve"> </w:t>
      </w:r>
      <w:r w:rsidRPr="00D903CD">
        <w:t xml:space="preserve">arrive en dernier avec </w:t>
      </w:r>
      <w:r w:rsidR="00141F53">
        <w:t>0</w:t>
      </w:r>
      <w:r w:rsidR="00B60D00">
        <w:t>,4</w:t>
      </w:r>
      <w:r w:rsidRPr="00D903CD">
        <w:t>%.</w:t>
      </w:r>
    </w:p>
    <w:p w14:paraId="5CD40509" w14:textId="2581A144" w:rsidR="00AD5423" w:rsidRDefault="00AD5423" w:rsidP="00BD78DB">
      <w:pPr>
        <w:ind w:right="16"/>
        <w:jc w:val="both"/>
      </w:pPr>
      <w:r w:rsidRPr="00941FB0">
        <w:t xml:space="preserve">Au cours des 3 </w:t>
      </w:r>
      <w:r w:rsidR="00F44D74" w:rsidRPr="00941FB0">
        <w:t xml:space="preserve">derniers </w:t>
      </w:r>
      <w:r w:rsidRPr="00941FB0">
        <w:t xml:space="preserve">mois </w:t>
      </w:r>
      <w:r w:rsidR="00A1198F" w:rsidRPr="00941FB0">
        <w:t>40,7</w:t>
      </w:r>
      <w:r w:rsidRPr="00941FB0">
        <w:t xml:space="preserve">% des entreprises interrogées ont vu leur effectif varier à la hausse (en moyenne </w:t>
      </w:r>
      <w:r w:rsidR="005F5F96" w:rsidRPr="00941FB0">
        <w:t>1</w:t>
      </w:r>
      <w:r w:rsidR="00120075" w:rsidRPr="00941FB0">
        <w:t>,</w:t>
      </w:r>
      <w:r w:rsidR="005F5F96" w:rsidRPr="00941FB0">
        <w:t>4</w:t>
      </w:r>
      <w:r w:rsidR="00F22EE8" w:rsidRPr="00941FB0">
        <w:t xml:space="preserve"> personne</w:t>
      </w:r>
      <w:r w:rsidRPr="00941FB0">
        <w:t>)</w:t>
      </w:r>
      <w:r w:rsidR="00BD78DB" w:rsidRPr="00941FB0">
        <w:t xml:space="preserve"> </w:t>
      </w:r>
      <w:r w:rsidRPr="00941FB0">
        <w:t xml:space="preserve">et </w:t>
      </w:r>
      <w:r w:rsidR="00A1198F" w:rsidRPr="00941FB0">
        <w:t>59,3</w:t>
      </w:r>
      <w:r w:rsidR="006B3692" w:rsidRPr="00941FB0">
        <w:t xml:space="preserve"> </w:t>
      </w:r>
      <w:r w:rsidRPr="00941FB0">
        <w:t>% à la baisse (en moyenne</w:t>
      </w:r>
      <w:r w:rsidR="00BD78DB" w:rsidRPr="00941FB0">
        <w:t xml:space="preserve"> </w:t>
      </w:r>
      <w:r w:rsidR="005F5F96" w:rsidRPr="00941FB0">
        <w:t>0</w:t>
      </w:r>
      <w:r w:rsidR="00F22EE8" w:rsidRPr="00941FB0">
        <w:t>,</w:t>
      </w:r>
      <w:r w:rsidR="005F5F96" w:rsidRPr="00941FB0">
        <w:t>96</w:t>
      </w:r>
      <w:r w:rsidR="005A00BF" w:rsidRPr="00941FB0">
        <w:t xml:space="preserve"> </w:t>
      </w:r>
      <w:r w:rsidR="00BD78DB" w:rsidRPr="00941FB0">
        <w:t>personne</w:t>
      </w:r>
      <w:r w:rsidR="002F5982" w:rsidRPr="00941FB0">
        <w:t>s</w:t>
      </w:r>
      <w:r w:rsidR="00BD78DB" w:rsidRPr="00941FB0">
        <w:t>).</w:t>
      </w:r>
    </w:p>
    <w:p w14:paraId="4CD2241A" w14:textId="05BE0A6B" w:rsidR="00F22EE8" w:rsidRPr="00D903CD" w:rsidRDefault="00A1198F" w:rsidP="00F22EE8">
      <w:pPr>
        <w:ind w:right="16"/>
        <w:jc w:val="center"/>
      </w:pPr>
      <w:r>
        <w:rPr>
          <w:noProof/>
        </w:rPr>
        <w:drawing>
          <wp:inline distT="0" distB="0" distL="0" distR="0" wp14:anchorId="66A251FB" wp14:editId="7C300357">
            <wp:extent cx="4733925" cy="3009900"/>
            <wp:effectExtent l="0" t="0" r="9525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4BFE09F" w14:textId="77777777" w:rsidR="00AD5423" w:rsidRPr="00D903CD" w:rsidRDefault="00792186" w:rsidP="00AD5423">
      <w:pPr>
        <w:ind w:right="16"/>
        <w:jc w:val="center"/>
        <w:rPr>
          <w:i/>
        </w:rPr>
      </w:pPr>
      <w:r w:rsidRPr="00D903CD">
        <w:rPr>
          <w:i/>
        </w:rPr>
        <w:br w:type="page"/>
      </w:r>
      <w:r w:rsidR="00AD5423" w:rsidRPr="00D903CD">
        <w:rPr>
          <w:i/>
        </w:rPr>
        <w:lastRenderedPageBreak/>
        <w:t>Prévision d'embauche dans les 3 prochains mois</w:t>
      </w:r>
    </w:p>
    <w:p w14:paraId="4019122C" w14:textId="64CF6AD5" w:rsidR="00CF3E05" w:rsidRPr="00D903CD" w:rsidRDefault="000410F0" w:rsidP="00AD542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04425B74" wp14:editId="00BB1E1A">
            <wp:extent cx="5514975" cy="3009900"/>
            <wp:effectExtent l="0" t="0" r="9525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CDAF6BB" w14:textId="7FB82143" w:rsidR="00AD5423" w:rsidRPr="00D903CD" w:rsidRDefault="00CF3E05" w:rsidP="00BD78DB">
      <w:pPr>
        <w:ind w:right="16"/>
        <w:jc w:val="both"/>
      </w:pPr>
      <w:r w:rsidRPr="00D903CD">
        <w:t xml:space="preserve">Au cours </w:t>
      </w:r>
      <w:r w:rsidR="00D446D1" w:rsidRPr="00D903CD">
        <w:t xml:space="preserve">de </w:t>
      </w:r>
      <w:r w:rsidR="005D4F0C" w:rsidRPr="00D903CD">
        <w:t xml:space="preserve">ce </w:t>
      </w:r>
      <w:r w:rsidR="000410F0">
        <w:t xml:space="preserve">deuxième </w:t>
      </w:r>
      <w:r w:rsidR="002B15C5">
        <w:t>trimestre 202</w:t>
      </w:r>
      <w:r w:rsidR="00913CAD">
        <w:t>2</w:t>
      </w:r>
      <w:r w:rsidR="005A00BF">
        <w:t>,</w:t>
      </w:r>
      <w:r w:rsidR="00A1198F">
        <w:t xml:space="preserve"> </w:t>
      </w:r>
      <w:r w:rsidR="000410F0">
        <w:t>8,8</w:t>
      </w:r>
      <w:r w:rsidR="004F7F5A" w:rsidRPr="00D903CD">
        <w:t xml:space="preserve">% </w:t>
      </w:r>
      <w:r w:rsidR="00A657C5" w:rsidRPr="00D903CD">
        <w:t xml:space="preserve">des entreprises interrogées </w:t>
      </w:r>
      <w:r w:rsidR="00AD5423" w:rsidRPr="00D903CD">
        <w:t>souhaitent recruter, en moyenne</w:t>
      </w:r>
      <w:r w:rsidR="00BD78DB" w:rsidRPr="00D903CD">
        <w:t xml:space="preserve"> </w:t>
      </w:r>
      <w:r w:rsidR="000410F0">
        <w:t>1,3</w:t>
      </w:r>
      <w:r w:rsidR="00B775FA">
        <w:t xml:space="preserve"> </w:t>
      </w:r>
      <w:r w:rsidR="00AD5423" w:rsidRPr="00D903CD">
        <w:t>personne. Les secteurs les plus concernés sont le</w:t>
      </w:r>
      <w:r w:rsidR="00913CAD">
        <w:t>s</w:t>
      </w:r>
      <w:r w:rsidR="00AD5423" w:rsidRPr="00D903CD">
        <w:t xml:space="preserve"> secteur</w:t>
      </w:r>
      <w:r w:rsidR="00913CAD">
        <w:t xml:space="preserve">s </w:t>
      </w:r>
      <w:r w:rsidR="000410F0">
        <w:t xml:space="preserve">de la </w:t>
      </w:r>
      <w:r w:rsidR="00B775FA">
        <w:t>«</w:t>
      </w:r>
      <w:r w:rsidR="00763E86">
        <w:t>Santé</w:t>
      </w:r>
      <w:r w:rsidR="002B15C5">
        <w:t>»</w:t>
      </w:r>
      <w:r w:rsidR="006A607E">
        <w:t xml:space="preserve"> </w:t>
      </w:r>
      <w:r w:rsidR="000410F0">
        <w:t>37</w:t>
      </w:r>
      <w:r w:rsidR="006A607E">
        <w:t>%</w:t>
      </w:r>
      <w:r w:rsidR="002B15C5">
        <w:t xml:space="preserve"> et </w:t>
      </w:r>
      <w:r w:rsidR="000410F0">
        <w:t>« Café Hôtellerie Restauration » 14</w:t>
      </w:r>
      <w:r w:rsidR="00D31F0C">
        <w:t>,3</w:t>
      </w:r>
      <w:r w:rsidR="00D86623">
        <w:t>%</w:t>
      </w:r>
      <w:r w:rsidR="009E04C6">
        <w:t xml:space="preserve"> de la profession</w:t>
      </w:r>
      <w:r w:rsidR="00913CAD">
        <w:t xml:space="preserve">, </w:t>
      </w:r>
      <w:r w:rsidR="009E04C6">
        <w:t xml:space="preserve">suivis des </w:t>
      </w:r>
      <w:r w:rsidR="00AD5423" w:rsidRPr="00D903CD">
        <w:t>secteur</w:t>
      </w:r>
      <w:r w:rsidR="00913806">
        <w:t>s</w:t>
      </w:r>
      <w:r w:rsidR="00EA5C82">
        <w:t xml:space="preserve"> </w:t>
      </w:r>
      <w:r w:rsidR="00EA5C82" w:rsidRPr="00D903CD">
        <w:t>«</w:t>
      </w:r>
      <w:r w:rsidR="00D31F0C">
        <w:t>Equipement de la Personne »</w:t>
      </w:r>
      <w:r w:rsidR="00EA5C82" w:rsidRPr="00D903CD">
        <w:t xml:space="preserve"> </w:t>
      </w:r>
      <w:r w:rsidR="00913CAD">
        <w:t>10,</w:t>
      </w:r>
      <w:r w:rsidR="00D31F0C">
        <w:t>7</w:t>
      </w:r>
      <w:r w:rsidR="00913CAD">
        <w:t>%  et «</w:t>
      </w:r>
      <w:r w:rsidR="00D31F0C">
        <w:t>Bâtiment » 10,3</w:t>
      </w:r>
      <w:r w:rsidR="00852F6C">
        <w:t xml:space="preserve">%. </w:t>
      </w:r>
    </w:p>
    <w:p w14:paraId="1738281F" w14:textId="77777777" w:rsidR="00AD5423" w:rsidRPr="00D903CD" w:rsidRDefault="00AD5423" w:rsidP="00AD5423">
      <w:pPr>
        <w:ind w:right="16"/>
        <w:jc w:val="center"/>
        <w:rPr>
          <w:i/>
        </w:rPr>
      </w:pPr>
    </w:p>
    <w:p w14:paraId="6067EBFA" w14:textId="77777777" w:rsidR="00AD5423" w:rsidRPr="00D903CD" w:rsidRDefault="00AD5423" w:rsidP="00AD5423">
      <w:pPr>
        <w:ind w:right="16"/>
        <w:jc w:val="center"/>
        <w:rPr>
          <w:i/>
        </w:rPr>
      </w:pPr>
      <w:r w:rsidRPr="00D903CD">
        <w:rPr>
          <w:i/>
        </w:rPr>
        <w:t>Prévisions de Licenciement dans les 3 prochains mois</w:t>
      </w:r>
    </w:p>
    <w:p w14:paraId="0DD4B0F0" w14:textId="24E37244" w:rsidR="009F7B94" w:rsidRPr="00D903CD" w:rsidRDefault="00D31F0C" w:rsidP="009F7B94">
      <w:pPr>
        <w:ind w:right="16"/>
        <w:jc w:val="center"/>
      </w:pPr>
      <w:r>
        <w:rPr>
          <w:noProof/>
        </w:rPr>
        <w:drawing>
          <wp:inline distT="0" distB="0" distL="0" distR="0" wp14:anchorId="44A367CE" wp14:editId="4BD22027">
            <wp:extent cx="5314950" cy="2705100"/>
            <wp:effectExtent l="0" t="0" r="0" b="0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39495DE" w14:textId="0C94B751" w:rsidR="00E903C9" w:rsidRDefault="005D4F0C" w:rsidP="005A00BF">
      <w:pPr>
        <w:ind w:left="360" w:right="16"/>
      </w:pPr>
      <w:r w:rsidRPr="00D903CD">
        <w:t xml:space="preserve">Ce </w:t>
      </w:r>
      <w:r w:rsidR="00AD5423" w:rsidRPr="00D903CD">
        <w:t>trimestre</w:t>
      </w:r>
      <w:r w:rsidR="009D4828" w:rsidRPr="00D903CD">
        <w:t xml:space="preserve"> </w:t>
      </w:r>
      <w:r w:rsidR="00EA779C">
        <w:t xml:space="preserve">encore </w:t>
      </w:r>
      <w:r w:rsidR="00913806">
        <w:t>2</w:t>
      </w:r>
      <w:r w:rsidR="006A607E">
        <w:t>,</w:t>
      </w:r>
      <w:r w:rsidR="00D31F0C">
        <w:t>8</w:t>
      </w:r>
      <w:r w:rsidR="00D647A7" w:rsidRPr="00D903CD">
        <w:t xml:space="preserve"> </w:t>
      </w:r>
      <w:r w:rsidR="00AD5423" w:rsidRPr="00D903CD">
        <w:t xml:space="preserve">% </w:t>
      </w:r>
      <w:r w:rsidR="00A278C9" w:rsidRPr="00D903CD">
        <w:t>d</w:t>
      </w:r>
      <w:r w:rsidR="00AD5423" w:rsidRPr="00D903CD">
        <w:t>es entreprises envisagent au moins un licenciement</w:t>
      </w:r>
      <w:r w:rsidRPr="00D903CD">
        <w:t xml:space="preserve"> </w:t>
      </w:r>
      <w:r w:rsidR="00EA779C">
        <w:t xml:space="preserve">comme pour </w:t>
      </w:r>
      <w:r w:rsidR="004B1492" w:rsidRPr="00D903CD">
        <w:t>le trimestre précédent</w:t>
      </w:r>
      <w:r w:rsidR="00D31F0C">
        <w:t xml:space="preserve"> (2,2%)</w:t>
      </w:r>
      <w:r w:rsidR="00BD78DB" w:rsidRPr="00D903CD">
        <w:t xml:space="preserve">. </w:t>
      </w:r>
      <w:r w:rsidR="00AD5423" w:rsidRPr="00D903CD">
        <w:t xml:space="preserve">Cela représenterait </w:t>
      </w:r>
      <w:r w:rsidR="00E903C9">
        <w:t>1</w:t>
      </w:r>
      <w:r w:rsidR="00913806">
        <w:t>,</w:t>
      </w:r>
      <w:r w:rsidR="00D31F0C">
        <w:t>1</w:t>
      </w:r>
      <w:r w:rsidR="00BD78DB" w:rsidRPr="00D903CD">
        <w:t xml:space="preserve"> </w:t>
      </w:r>
      <w:r w:rsidR="00AD5423" w:rsidRPr="00D903CD">
        <w:t>poste supprimé</w:t>
      </w:r>
      <w:r w:rsidR="00D84993" w:rsidRPr="00D903CD">
        <w:t>. L</w:t>
      </w:r>
      <w:r w:rsidR="00AD5423" w:rsidRPr="00D903CD">
        <w:t>es secteurs les plus concernés sont le</w:t>
      </w:r>
      <w:r w:rsidR="00941FB0">
        <w:t xml:space="preserve">s secteurs </w:t>
      </w:r>
      <w:r w:rsidR="00913806" w:rsidRPr="00D903CD">
        <w:t>«</w:t>
      </w:r>
      <w:r w:rsidR="00941FB0">
        <w:t>Auto</w:t>
      </w:r>
      <w:r w:rsidR="00913806" w:rsidRPr="00D903CD">
        <w:t>»</w:t>
      </w:r>
      <w:r w:rsidR="00913806">
        <w:t xml:space="preserve">  et </w:t>
      </w:r>
      <w:r w:rsidR="00A4168E">
        <w:t>«</w:t>
      </w:r>
      <w:r w:rsidR="00941FB0">
        <w:t>Services»</w:t>
      </w:r>
      <w:r w:rsidR="00E903C9">
        <w:t xml:space="preserve">  </w:t>
      </w:r>
      <w:r w:rsidR="00941FB0">
        <w:t>avec respectivement 7,7</w:t>
      </w:r>
      <w:r w:rsidR="00E903C9">
        <w:t xml:space="preserve">% </w:t>
      </w:r>
      <w:r w:rsidR="00543F07" w:rsidRPr="00D903CD">
        <w:t>suivi</w:t>
      </w:r>
      <w:r w:rsidR="00980F08" w:rsidRPr="00D903CD">
        <w:t>s</w:t>
      </w:r>
      <w:r w:rsidR="00543F07" w:rsidRPr="00D903CD">
        <w:t xml:space="preserve"> des secteurs </w:t>
      </w:r>
      <w:r w:rsidR="00590B6B" w:rsidRPr="00D903CD">
        <w:t xml:space="preserve"> </w:t>
      </w:r>
      <w:r w:rsidR="00BA7D47">
        <w:t>«</w:t>
      </w:r>
      <w:r w:rsidR="005A00BF">
        <w:t> </w:t>
      </w:r>
      <w:r w:rsidR="00E903C9">
        <w:t>Café Hôtel Restaurant » 6,</w:t>
      </w:r>
      <w:r w:rsidR="00941FB0">
        <w:t>4</w:t>
      </w:r>
      <w:r w:rsidR="00E903C9">
        <w:t>%, « </w:t>
      </w:r>
      <w:r w:rsidR="00941FB0">
        <w:t xml:space="preserve">Bâtiment </w:t>
      </w:r>
      <w:r w:rsidR="00E903C9">
        <w:t xml:space="preserve">» </w:t>
      </w:r>
      <w:r w:rsidR="00941FB0">
        <w:t>5,4</w:t>
      </w:r>
      <w:r w:rsidR="00E903C9">
        <w:t xml:space="preserve">% et </w:t>
      </w:r>
      <w:r w:rsidR="00941FB0">
        <w:t xml:space="preserve">« Transport » et </w:t>
      </w:r>
      <w:r w:rsidR="00E903C9">
        <w:t xml:space="preserve">« Beauté Esthétique pour </w:t>
      </w:r>
      <w:r w:rsidR="00941FB0">
        <w:t>1</w:t>
      </w:r>
      <w:r w:rsidR="00E903C9">
        <w:t>,</w:t>
      </w:r>
      <w:r w:rsidR="00941FB0">
        <w:t>8</w:t>
      </w:r>
      <w:r w:rsidR="00E903C9">
        <w:t>%</w:t>
      </w:r>
      <w:r w:rsidR="00941FB0">
        <w:t xml:space="preserve"> et 1,2%</w:t>
      </w:r>
      <w:r w:rsidR="00E903C9">
        <w:t>.</w:t>
      </w:r>
      <w:r w:rsidR="00941FB0">
        <w:t xml:space="preserve"> </w:t>
      </w:r>
    </w:p>
    <w:p w14:paraId="664645B4" w14:textId="77777777" w:rsidR="00E903C9" w:rsidRDefault="00E903C9" w:rsidP="005A00BF">
      <w:pPr>
        <w:ind w:left="360" w:right="16"/>
      </w:pPr>
    </w:p>
    <w:p w14:paraId="30ED0559" w14:textId="77777777" w:rsidR="00AD5423" w:rsidRPr="00D903CD" w:rsidRDefault="00E903C9" w:rsidP="005A00BF">
      <w:pPr>
        <w:ind w:left="360" w:right="16"/>
      </w:pPr>
      <w:r>
        <w:t xml:space="preserve"> </w:t>
      </w:r>
    </w:p>
    <w:p w14:paraId="0FF303F2" w14:textId="77777777" w:rsidR="00AD5423" w:rsidRDefault="00AD5423" w:rsidP="00AD5423">
      <w:pPr>
        <w:ind w:right="16"/>
        <w:rPr>
          <w:i/>
        </w:rPr>
      </w:pPr>
    </w:p>
    <w:p w14:paraId="78EB21DE" w14:textId="77777777" w:rsidR="00BA7D47" w:rsidRDefault="00BA7D47" w:rsidP="00AD5423">
      <w:pPr>
        <w:ind w:right="16"/>
        <w:rPr>
          <w:i/>
        </w:rPr>
      </w:pPr>
    </w:p>
    <w:p w14:paraId="0022391E" w14:textId="77777777" w:rsidR="00AD5423" w:rsidRDefault="00AD5423" w:rsidP="00EA20F1">
      <w:pPr>
        <w:tabs>
          <w:tab w:val="left" w:pos="1848"/>
        </w:tabs>
        <w:ind w:right="16"/>
        <w:jc w:val="center"/>
        <w:rPr>
          <w:i/>
        </w:rPr>
      </w:pPr>
      <w:r w:rsidRPr="00D903CD">
        <w:rPr>
          <w:i/>
        </w:rPr>
        <w:t>Préoccupations majeures dans la gestion de l'entreprise</w:t>
      </w:r>
    </w:p>
    <w:p w14:paraId="3BF5D817" w14:textId="77777777" w:rsidR="00331240" w:rsidRPr="00D903CD" w:rsidRDefault="00331240" w:rsidP="00EA20F1">
      <w:pPr>
        <w:tabs>
          <w:tab w:val="left" w:pos="1848"/>
        </w:tabs>
        <w:ind w:right="16"/>
        <w:jc w:val="center"/>
        <w:rPr>
          <w:i/>
        </w:rPr>
      </w:pPr>
    </w:p>
    <w:p w14:paraId="616FB9EE" w14:textId="77777777" w:rsidR="00C32E35" w:rsidRPr="00D903CD" w:rsidRDefault="00135FDA" w:rsidP="00B27789">
      <w:pPr>
        <w:tabs>
          <w:tab w:val="left" w:pos="1848"/>
        </w:tabs>
        <w:ind w:right="16"/>
        <w:jc w:val="center"/>
        <w:rPr>
          <w:i/>
        </w:rPr>
      </w:pPr>
      <w:r>
        <w:rPr>
          <w:noProof/>
          <w:lang w:eastAsia="fr-FR"/>
        </w:rPr>
        <w:drawing>
          <wp:inline distT="0" distB="0" distL="0" distR="0" wp14:anchorId="5CA3F24F" wp14:editId="1893B0CB">
            <wp:extent cx="6019800" cy="2981325"/>
            <wp:effectExtent l="0" t="0" r="0" b="9525"/>
            <wp:docPr id="11" name="Graphique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3CC3F1" w14:textId="77777777" w:rsidR="00AD5423" w:rsidRPr="00D903CD" w:rsidRDefault="00AD5423" w:rsidP="00AD5423">
      <w:pPr>
        <w:spacing w:after="40"/>
        <w:ind w:right="16"/>
        <w:jc w:val="center"/>
        <w:rPr>
          <w:i/>
        </w:rPr>
      </w:pPr>
    </w:p>
    <w:p w14:paraId="3435BE48" w14:textId="77777777" w:rsidR="00AD5423" w:rsidRPr="00D903CD" w:rsidRDefault="00AD5423" w:rsidP="00AD5423">
      <w:pPr>
        <w:spacing w:after="40"/>
        <w:ind w:right="16"/>
        <w:jc w:val="center"/>
        <w:rPr>
          <w:i/>
        </w:rPr>
      </w:pPr>
      <w:r w:rsidRPr="00D903CD">
        <w:rPr>
          <w:i/>
        </w:rPr>
        <w:t>Préoccupation par tranche d'âge</w:t>
      </w:r>
    </w:p>
    <w:p w14:paraId="0CD19FCF" w14:textId="77777777" w:rsidR="00AD5423" w:rsidRPr="00D903CD" w:rsidRDefault="00AD5423" w:rsidP="00AD5423">
      <w:pPr>
        <w:spacing w:after="40"/>
        <w:ind w:right="16"/>
        <w:jc w:val="center"/>
        <w:rPr>
          <w:i/>
        </w:rPr>
      </w:pPr>
    </w:p>
    <w:p w14:paraId="60EC7EE5" w14:textId="0194AAB8" w:rsidR="00FE7890" w:rsidRPr="00D903CD" w:rsidRDefault="00135FDA" w:rsidP="00EA20F1">
      <w:pPr>
        <w:spacing w:after="0"/>
        <w:ind w:right="16"/>
        <w:jc w:val="both"/>
      </w:pPr>
      <w:r>
        <w:t>Ce trimestre encore, la</w:t>
      </w:r>
      <w:r w:rsidR="00AD5423" w:rsidRPr="00D903CD">
        <w:t xml:space="preserve"> gestion financière est ce qui préoccupe le plus les entreprises, principalement les moins</w:t>
      </w:r>
      <w:r w:rsidR="00BD78DB" w:rsidRPr="00D903CD">
        <w:t xml:space="preserve"> </w:t>
      </w:r>
      <w:r w:rsidR="00AD5423" w:rsidRPr="00D903CD">
        <w:t xml:space="preserve">de </w:t>
      </w:r>
      <w:r w:rsidR="007C34DE">
        <w:t>50</w:t>
      </w:r>
      <w:r w:rsidR="00AD5423" w:rsidRPr="00D903CD">
        <w:t xml:space="preserve"> ans</w:t>
      </w:r>
      <w:r w:rsidR="00BD78DB" w:rsidRPr="00D903CD">
        <w:t xml:space="preserve"> </w:t>
      </w:r>
      <w:r w:rsidR="00AD5423" w:rsidRPr="00D903CD">
        <w:t>(</w:t>
      </w:r>
      <w:r>
        <w:t>5</w:t>
      </w:r>
      <w:r w:rsidR="00941FB0">
        <w:t>1,9</w:t>
      </w:r>
      <w:r w:rsidR="0001666E" w:rsidRPr="00D903CD">
        <w:t>%</w:t>
      </w:r>
      <w:r w:rsidR="00AD5423" w:rsidRPr="00D903CD">
        <w:t>),</w:t>
      </w:r>
      <w:r w:rsidR="00EA20F1" w:rsidRPr="00D903CD">
        <w:t xml:space="preserve"> </w:t>
      </w:r>
      <w:r w:rsidR="00AD5423" w:rsidRPr="00D903CD">
        <w:t>le côté commercial</w:t>
      </w:r>
      <w:r w:rsidR="00BF740B">
        <w:t xml:space="preserve"> </w:t>
      </w:r>
      <w:r w:rsidR="00EE053B">
        <w:t>est la préoccupation d</w:t>
      </w:r>
      <w:r w:rsidR="00BF740B">
        <w:t>es plus de 60 ans (</w:t>
      </w:r>
      <w:r w:rsidR="00941FB0">
        <w:t>30,4</w:t>
      </w:r>
      <w:r w:rsidR="00BF740B">
        <w:t xml:space="preserve">%) </w:t>
      </w:r>
      <w:r w:rsidR="0083144B">
        <w:t>(</w:t>
      </w:r>
      <w:r w:rsidR="00FE7890" w:rsidRPr="00D903CD">
        <w:t>contre</w:t>
      </w:r>
      <w:r w:rsidR="0083144B">
        <w:t xml:space="preserve"> </w:t>
      </w:r>
      <w:r>
        <w:t>2</w:t>
      </w:r>
      <w:r w:rsidR="00941FB0">
        <w:t>3,7</w:t>
      </w:r>
      <w:r w:rsidR="00272BF4" w:rsidRPr="00D903CD">
        <w:t>%</w:t>
      </w:r>
      <w:r w:rsidR="00FE7890" w:rsidRPr="00D903CD">
        <w:t xml:space="preserve"> le trimestre précédent</w:t>
      </w:r>
      <w:r w:rsidR="002C0BC1" w:rsidRPr="00D903CD">
        <w:t>)</w:t>
      </w:r>
      <w:r w:rsidR="00AD5423" w:rsidRPr="00D903CD">
        <w:t>.</w:t>
      </w:r>
    </w:p>
    <w:p w14:paraId="6BCD07F5" w14:textId="77777777" w:rsidR="00A02718" w:rsidRPr="00D903CD" w:rsidRDefault="00A02718" w:rsidP="00EA20F1">
      <w:pPr>
        <w:spacing w:after="0"/>
        <w:ind w:right="16"/>
        <w:jc w:val="both"/>
      </w:pPr>
    </w:p>
    <w:p w14:paraId="33B72A01" w14:textId="77777777" w:rsidR="00A02718" w:rsidRPr="00D903CD" w:rsidRDefault="00A02718" w:rsidP="00EA20F1">
      <w:pPr>
        <w:spacing w:after="0"/>
        <w:ind w:right="16"/>
        <w:jc w:val="both"/>
      </w:pPr>
    </w:p>
    <w:p w14:paraId="14D346B3" w14:textId="77777777" w:rsidR="003D7FC3" w:rsidRPr="00D903CD" w:rsidRDefault="003D7FC3" w:rsidP="00AD5423">
      <w:pPr>
        <w:spacing w:after="0"/>
        <w:ind w:right="16"/>
        <w:rPr>
          <w:noProof/>
          <w:lang w:eastAsia="fr-FR"/>
        </w:rPr>
      </w:pPr>
    </w:p>
    <w:p w14:paraId="084C0ECE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68E0BD24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10C4F2C9" w14:textId="704233EB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6EA2C14A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74DE1D8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081FC8BF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4664EEE0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92CD6A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38337EE3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A97A97A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174D6D16" w14:textId="77777777" w:rsidR="0018176F" w:rsidRDefault="0018176F" w:rsidP="00AD5423">
      <w:pPr>
        <w:spacing w:after="0"/>
        <w:ind w:right="16"/>
        <w:rPr>
          <w:noProof/>
          <w:lang w:eastAsia="fr-FR"/>
        </w:rPr>
      </w:pPr>
    </w:p>
    <w:p w14:paraId="105EAE93" w14:textId="77777777" w:rsidR="00331240" w:rsidRPr="00D903CD" w:rsidRDefault="00331240" w:rsidP="00AD5423">
      <w:pPr>
        <w:spacing w:after="0"/>
        <w:ind w:right="16"/>
        <w:rPr>
          <w:noProof/>
          <w:lang w:eastAsia="fr-FR"/>
        </w:rPr>
      </w:pPr>
    </w:p>
    <w:p w14:paraId="1B5BFF1E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3356E0D7" w14:textId="77777777" w:rsidR="0018176F" w:rsidRPr="00D903CD" w:rsidRDefault="0018176F" w:rsidP="00AD5423">
      <w:pPr>
        <w:spacing w:after="0"/>
        <w:ind w:right="16"/>
        <w:rPr>
          <w:noProof/>
          <w:lang w:eastAsia="fr-FR"/>
        </w:rPr>
      </w:pPr>
    </w:p>
    <w:p w14:paraId="26FC61C3" w14:textId="77777777" w:rsidR="0018176F" w:rsidRPr="00D903CD" w:rsidRDefault="0018176F" w:rsidP="00AD5423">
      <w:pPr>
        <w:spacing w:after="0"/>
        <w:ind w:right="16"/>
      </w:pPr>
    </w:p>
    <w:p w14:paraId="3B3F3E85" w14:textId="77777777" w:rsidR="00A02718" w:rsidRPr="00D903CD" w:rsidRDefault="00A02718" w:rsidP="003D7FC3">
      <w:pPr>
        <w:ind w:right="16"/>
        <w:jc w:val="center"/>
        <w:rPr>
          <w:i/>
        </w:rPr>
      </w:pPr>
    </w:p>
    <w:p w14:paraId="044E5581" w14:textId="77777777" w:rsidR="00A02718" w:rsidRDefault="00A02718" w:rsidP="003D7FC3">
      <w:pPr>
        <w:ind w:right="16"/>
        <w:jc w:val="center"/>
        <w:rPr>
          <w:i/>
        </w:rPr>
      </w:pPr>
    </w:p>
    <w:p w14:paraId="4C32D987" w14:textId="77777777" w:rsidR="00F801D6" w:rsidRDefault="00F801D6" w:rsidP="003D7FC3">
      <w:pPr>
        <w:ind w:right="16"/>
        <w:jc w:val="center"/>
        <w:rPr>
          <w:i/>
        </w:rPr>
      </w:pPr>
    </w:p>
    <w:p w14:paraId="26F2B641" w14:textId="77777777" w:rsidR="003D7FC3" w:rsidRPr="00D903CD" w:rsidRDefault="003B481C" w:rsidP="003D7FC3">
      <w:pPr>
        <w:ind w:right="16"/>
        <w:jc w:val="center"/>
        <w:rPr>
          <w:i/>
        </w:rPr>
      </w:pPr>
      <w:r w:rsidRPr="00D903CD">
        <w:rPr>
          <w:i/>
        </w:rPr>
        <w:lastRenderedPageBreak/>
        <w:t xml:space="preserve">4 - </w:t>
      </w:r>
      <w:r w:rsidR="003D7FC3" w:rsidRPr="00D903CD">
        <w:rPr>
          <w:i/>
        </w:rPr>
        <w:t>Relations avec les banques.</w:t>
      </w:r>
    </w:p>
    <w:p w14:paraId="4846A784" w14:textId="77777777" w:rsidR="003D7FC3" w:rsidRPr="00D903CD" w:rsidRDefault="00A039FD" w:rsidP="00811ED2">
      <w:pPr>
        <w:spacing w:after="40"/>
        <w:ind w:right="17"/>
      </w:pPr>
      <w:r w:rsidRPr="00D903CD">
        <w:rPr>
          <w:b/>
        </w:rPr>
        <w:t>Rappel :</w:t>
      </w:r>
      <w:r w:rsidRPr="00D903CD">
        <w:t xml:space="preserve"> La FCGA et la Banque de France mènent une enquête trimestrielle auprès d’entreprises sur leur accès au financement bancaire; </w:t>
      </w:r>
      <w:r w:rsidR="00A657C5" w:rsidRPr="00D903CD">
        <w:t>E</w:t>
      </w:r>
      <w:r w:rsidRPr="00D903CD">
        <w:t xml:space="preserve">nviron </w:t>
      </w:r>
      <w:r w:rsidR="009E33BC">
        <w:t>1800</w:t>
      </w:r>
      <w:r w:rsidRPr="00D903CD">
        <w:t xml:space="preserve"> TPE adhérentes ont répondu, 4000 PME et 500 ETI.</w:t>
      </w:r>
    </w:p>
    <w:p w14:paraId="59954CDE" w14:textId="51F08E24" w:rsidR="00D920B2" w:rsidRDefault="00D855C8" w:rsidP="00811ED2">
      <w:pPr>
        <w:spacing w:after="20"/>
        <w:ind w:right="17"/>
        <w:rPr>
          <w:b/>
        </w:rPr>
      </w:pPr>
      <w:r>
        <w:rPr>
          <w:b/>
        </w:rPr>
        <w:t xml:space="preserve">Pour ce </w:t>
      </w:r>
      <w:r w:rsidR="00932F5C">
        <w:rPr>
          <w:b/>
        </w:rPr>
        <w:t>2</w:t>
      </w:r>
      <w:r w:rsidR="00932F5C" w:rsidRPr="00932F5C">
        <w:rPr>
          <w:b/>
          <w:vertAlign w:val="superscript"/>
        </w:rPr>
        <w:t>nd</w:t>
      </w:r>
      <w:r>
        <w:rPr>
          <w:b/>
        </w:rPr>
        <w:t xml:space="preserve"> trimestre </w:t>
      </w:r>
      <w:r w:rsidR="00D120E5">
        <w:rPr>
          <w:b/>
        </w:rPr>
        <w:t>202</w:t>
      </w:r>
      <w:r>
        <w:rPr>
          <w:b/>
        </w:rPr>
        <w:t>2</w:t>
      </w:r>
      <w:r w:rsidR="00D120E5">
        <w:rPr>
          <w:b/>
        </w:rPr>
        <w:t xml:space="preserve">, les demandes de </w:t>
      </w:r>
      <w:r>
        <w:rPr>
          <w:b/>
        </w:rPr>
        <w:t xml:space="preserve">nouveaux crédits de trésorerie </w:t>
      </w:r>
      <w:r w:rsidR="00694AA8">
        <w:rPr>
          <w:b/>
        </w:rPr>
        <w:t>augmentent lég</w:t>
      </w:r>
      <w:r w:rsidR="00824DD0">
        <w:rPr>
          <w:b/>
        </w:rPr>
        <w:t>è</w:t>
      </w:r>
      <w:r w:rsidR="00694AA8">
        <w:rPr>
          <w:b/>
        </w:rPr>
        <w:t>rement</w:t>
      </w:r>
      <w:r>
        <w:rPr>
          <w:b/>
        </w:rPr>
        <w:t>,</w:t>
      </w:r>
      <w:r w:rsidR="00824DD0">
        <w:rPr>
          <w:b/>
        </w:rPr>
        <w:t xml:space="preserve"> tout en restant un peu en </w:t>
      </w:r>
      <w:proofErr w:type="spellStart"/>
      <w:r w:rsidR="00824DD0">
        <w:rPr>
          <w:b/>
        </w:rPr>
        <w:t>deça</w:t>
      </w:r>
      <w:proofErr w:type="spellEnd"/>
      <w:r w:rsidR="00824DD0">
        <w:rPr>
          <w:b/>
        </w:rPr>
        <w:t xml:space="preserve"> des chiffres de l’</w:t>
      </w:r>
      <w:proofErr w:type="spellStart"/>
      <w:r w:rsidR="00824DD0">
        <w:rPr>
          <w:b/>
        </w:rPr>
        <w:t>avant-crise</w:t>
      </w:r>
      <w:proofErr w:type="spellEnd"/>
      <w:r w:rsidR="00824DD0">
        <w:rPr>
          <w:b/>
        </w:rPr>
        <w:t xml:space="preserve"> </w:t>
      </w:r>
      <w:proofErr w:type="spellStart"/>
      <w:r w:rsidR="00824DD0">
        <w:rPr>
          <w:b/>
        </w:rPr>
        <w:t>Covid</w:t>
      </w:r>
      <w:proofErr w:type="spellEnd"/>
      <w:r w:rsidR="00824DD0">
        <w:rPr>
          <w:b/>
        </w:rPr>
        <w:t>.</w:t>
      </w:r>
    </w:p>
    <w:p w14:paraId="1489E182" w14:textId="069BA865" w:rsidR="00824DD0" w:rsidRDefault="00824DD0" w:rsidP="00811ED2">
      <w:pPr>
        <w:spacing w:after="20"/>
        <w:ind w:right="17"/>
        <w:rPr>
          <w:b/>
        </w:rPr>
      </w:pPr>
      <w:r>
        <w:rPr>
          <w:b/>
        </w:rPr>
        <w:t xml:space="preserve">Plus de 8 entreprises sur 10 ont vu leur demande satisfaite, toutes tailles confondues. Parallèlement, une plus grande proportion d’entreprise a signalé une augmentation du coût du crédit par rapport aux trimestres précédents.  </w:t>
      </w:r>
    </w:p>
    <w:p w14:paraId="167B2127" w14:textId="77777777" w:rsidR="0009099D" w:rsidRPr="00D903CD" w:rsidRDefault="0009099D" w:rsidP="0009099D">
      <w:pPr>
        <w:spacing w:after="0"/>
        <w:ind w:right="-449"/>
        <w:jc w:val="both"/>
        <w:rPr>
          <w:b/>
        </w:rPr>
      </w:pPr>
    </w:p>
    <w:p w14:paraId="0CB3A3C5" w14:textId="77777777" w:rsidR="003D7FC3" w:rsidRPr="00D903CD" w:rsidRDefault="0091474F" w:rsidP="003D7FC3">
      <w:pPr>
        <w:ind w:right="16"/>
        <w:jc w:val="center"/>
        <w:rPr>
          <w:i/>
        </w:rPr>
      </w:pPr>
      <w:r w:rsidRPr="00D903CD">
        <w:rPr>
          <w:i/>
        </w:rPr>
        <w:t>Demande de crédit</w:t>
      </w:r>
      <w:r w:rsidR="00BD78DB" w:rsidRPr="00D903CD">
        <w:rPr>
          <w:i/>
        </w:rPr>
        <w:t xml:space="preserve"> </w:t>
      </w:r>
      <w:r w:rsidR="003D7FC3" w:rsidRPr="00D903CD">
        <w:rPr>
          <w:i/>
        </w:rPr>
        <w:t xml:space="preserve">de trésorerie </w:t>
      </w:r>
    </w:p>
    <w:p w14:paraId="629E84CC" w14:textId="740881DC" w:rsidR="000C018A" w:rsidRPr="00D903CD" w:rsidRDefault="00331240" w:rsidP="00037F1D">
      <w:pPr>
        <w:spacing w:after="0"/>
        <w:ind w:right="-449"/>
        <w:jc w:val="both"/>
      </w:pPr>
      <w:r w:rsidRPr="00331240">
        <w:t>L</w:t>
      </w:r>
      <w:r w:rsidR="003D7FC3" w:rsidRPr="00D903CD">
        <w:t xml:space="preserve">a demande de </w:t>
      </w:r>
      <w:r w:rsidR="00E729C3" w:rsidRPr="00D903CD">
        <w:t>nouveaux crédit</w:t>
      </w:r>
      <w:r w:rsidR="00A7642C" w:rsidRPr="00D903CD">
        <w:t>s</w:t>
      </w:r>
      <w:r w:rsidR="00E729C3" w:rsidRPr="00D903CD">
        <w:t xml:space="preserve"> </w:t>
      </w:r>
      <w:r w:rsidR="00897399">
        <w:t xml:space="preserve">de trésorerie </w:t>
      </w:r>
      <w:r w:rsidR="00037F1D">
        <w:t xml:space="preserve">se stabilise à </w:t>
      </w:r>
      <w:r w:rsidR="0009099D">
        <w:t>un niveau bas</w:t>
      </w:r>
      <w:r w:rsidR="00EE053B">
        <w:t xml:space="preserve"> (</w:t>
      </w:r>
      <w:r w:rsidR="00D920B2">
        <w:t>5,</w:t>
      </w:r>
      <w:r w:rsidR="00824DD0">
        <w:t>4</w:t>
      </w:r>
      <w:r w:rsidR="00EE053B">
        <w:t>%)</w:t>
      </w:r>
      <w:r w:rsidR="00570FDA">
        <w:t xml:space="preserve">, </w:t>
      </w:r>
      <w:r w:rsidR="00D920B2">
        <w:t xml:space="preserve">Rappel </w:t>
      </w:r>
      <w:r w:rsidR="00570FDA">
        <w:t>(</w:t>
      </w:r>
      <w:r w:rsidR="00824DD0">
        <w:t>5,0</w:t>
      </w:r>
      <w:r w:rsidR="00D920B2">
        <w:t xml:space="preserve">%) au trimestre précédent. </w:t>
      </w:r>
      <w:r w:rsidR="000C018A" w:rsidRPr="00D903CD">
        <w:t xml:space="preserve"> </w:t>
      </w:r>
    </w:p>
    <w:p w14:paraId="765963D7" w14:textId="0607413A" w:rsidR="005F69C5" w:rsidRPr="00D903CD" w:rsidRDefault="00824DD0" w:rsidP="00520DAB">
      <w:pPr>
        <w:spacing w:after="0"/>
        <w:ind w:right="-449"/>
        <w:jc w:val="center"/>
      </w:pPr>
      <w:r>
        <w:rPr>
          <w:noProof/>
        </w:rPr>
        <w:drawing>
          <wp:inline distT="0" distB="0" distL="0" distR="0" wp14:anchorId="5F5E07D7" wp14:editId="355F9EAB">
            <wp:extent cx="5419725" cy="2200275"/>
            <wp:effectExtent l="0" t="0" r="9525" b="9525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71CC21" w14:textId="6EF0DC24" w:rsidR="003D7FC3" w:rsidRPr="00D903CD" w:rsidRDefault="00D920B2" w:rsidP="006F6244">
      <w:pPr>
        <w:spacing w:after="0"/>
        <w:jc w:val="both"/>
        <w:rPr>
          <w:b/>
        </w:rPr>
      </w:pPr>
      <w:r>
        <w:t>P</w:t>
      </w:r>
      <w:r w:rsidR="003D7FC3" w:rsidRPr="00D903CD">
        <w:t xml:space="preserve">armi ces entreprises </w:t>
      </w:r>
      <w:r w:rsidR="00824DD0">
        <w:t>79</w:t>
      </w:r>
      <w:r w:rsidR="00C57873" w:rsidRPr="00D903CD">
        <w:t xml:space="preserve"> </w:t>
      </w:r>
      <w:r w:rsidR="003D7FC3" w:rsidRPr="00D903CD">
        <w:t xml:space="preserve">% ont obtenu un crédit de trésorerie à hauteur de </w:t>
      </w:r>
      <w:r w:rsidR="006005F6" w:rsidRPr="00D903CD">
        <w:t>75</w:t>
      </w:r>
      <w:r w:rsidR="003D7FC3" w:rsidRPr="00D903CD">
        <w:t>% au moins du montant sollicité</w:t>
      </w:r>
      <w:r w:rsidR="00E66CBA">
        <w:t xml:space="preserve">. </w:t>
      </w:r>
      <w:r w:rsidR="00CA67B5">
        <w:t>Ce taux est légèrement plus faible que le trimestre précédent</w:t>
      </w:r>
      <w:r w:rsidR="00B206BC">
        <w:t xml:space="preserve"> (87%)</w:t>
      </w:r>
      <w:r w:rsidR="00CA67B5">
        <w:t xml:space="preserve">. </w:t>
      </w:r>
    </w:p>
    <w:p w14:paraId="24C222D4" w14:textId="77777777" w:rsidR="008B3559" w:rsidRDefault="008B3559" w:rsidP="003D7FC3">
      <w:pPr>
        <w:ind w:right="16"/>
        <w:jc w:val="center"/>
        <w:rPr>
          <w:i/>
        </w:rPr>
      </w:pPr>
    </w:p>
    <w:p w14:paraId="29FEFC35" w14:textId="725AE9A4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 xml:space="preserve">Raisons de l’absence de demande de crédit de trésorerie dans les TPE </w:t>
      </w:r>
    </w:p>
    <w:p w14:paraId="361E3441" w14:textId="2A70A599" w:rsidR="005F69C5" w:rsidRPr="00D903CD" w:rsidRDefault="00543F07" w:rsidP="0087535D">
      <w:pPr>
        <w:spacing w:after="0"/>
      </w:pPr>
      <w:r w:rsidRPr="00D903CD">
        <w:t>L</w:t>
      </w:r>
      <w:r w:rsidR="003D7FC3" w:rsidRPr="00D903CD">
        <w:t>a cause principale de l’absence de demande de crédit est l’absence de besoin (</w:t>
      </w:r>
      <w:r w:rsidR="00E66CBA">
        <w:t>5</w:t>
      </w:r>
      <w:r w:rsidR="00627C84">
        <w:t>7</w:t>
      </w:r>
      <w:r w:rsidR="00E66CBA">
        <w:t>,</w:t>
      </w:r>
      <w:r w:rsidR="00627C84">
        <w:t>1</w:t>
      </w:r>
      <w:r w:rsidR="003D7FC3" w:rsidRPr="00D903CD">
        <w:t>% vs</w:t>
      </w:r>
      <w:r w:rsidR="00E63B65" w:rsidRPr="00D903CD">
        <w:t xml:space="preserve"> </w:t>
      </w:r>
      <w:r w:rsidR="00D920B2">
        <w:t>5</w:t>
      </w:r>
      <w:r w:rsidR="00627C84">
        <w:t>8</w:t>
      </w:r>
      <w:r w:rsidR="000C2A4D">
        <w:t>,</w:t>
      </w:r>
      <w:r w:rsidR="00627C84">
        <w:t>3</w:t>
      </w:r>
      <w:r w:rsidR="00B05523" w:rsidRPr="00D903CD">
        <w:t>%</w:t>
      </w:r>
      <w:r w:rsidR="003D7FC3" w:rsidRPr="00D903CD">
        <w:t>). L’autocensure</w:t>
      </w:r>
      <w:r w:rsidR="00A56085" w:rsidRPr="00D903CD">
        <w:t xml:space="preserve"> </w:t>
      </w:r>
      <w:r w:rsidR="00330070" w:rsidRPr="00D903CD">
        <w:t>(</w:t>
      </w:r>
      <w:r w:rsidR="003D7FC3" w:rsidRPr="00D903CD">
        <w:t>au sens de la</w:t>
      </w:r>
      <w:r w:rsidR="00330070" w:rsidRPr="00D903CD">
        <w:t xml:space="preserve"> crainte d’un refus du banquier)</w:t>
      </w:r>
      <w:r w:rsidR="00BD78DB" w:rsidRPr="00D903CD">
        <w:t xml:space="preserve"> </w:t>
      </w:r>
      <w:r w:rsidR="003D7FC3" w:rsidRPr="00D903CD">
        <w:t>est marginale</w:t>
      </w:r>
      <w:r w:rsidR="005F69C5" w:rsidRPr="00D903CD">
        <w:t xml:space="preserve"> </w:t>
      </w:r>
      <w:r w:rsidR="000C2A4D">
        <w:t>1,</w:t>
      </w:r>
      <w:r w:rsidR="00D920B2">
        <w:t>6</w:t>
      </w:r>
      <w:r w:rsidR="003D7FC3" w:rsidRPr="00D903CD">
        <w:t>%.</w:t>
      </w:r>
    </w:p>
    <w:p w14:paraId="3FC76187" w14:textId="4749F285" w:rsidR="005F69C5" w:rsidRDefault="005F69C5" w:rsidP="0087535D">
      <w:pPr>
        <w:spacing w:after="0"/>
      </w:pPr>
    </w:p>
    <w:p w14:paraId="7AE9B154" w14:textId="5D6CB60E" w:rsidR="00627C84" w:rsidRPr="00D903CD" w:rsidRDefault="00627C84" w:rsidP="00627C84">
      <w:pPr>
        <w:spacing w:after="0"/>
        <w:jc w:val="center"/>
      </w:pPr>
      <w:r>
        <w:rPr>
          <w:noProof/>
        </w:rPr>
        <w:drawing>
          <wp:inline distT="0" distB="0" distL="0" distR="0" wp14:anchorId="2E9114E6" wp14:editId="0EDB7EEB">
            <wp:extent cx="6019800" cy="3190875"/>
            <wp:effectExtent l="0" t="0" r="0" b="9525"/>
            <wp:docPr id="8" name="Graphique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EF54F8F" w14:textId="25C31002" w:rsidR="003D7FC3" w:rsidRPr="00D903CD" w:rsidRDefault="00937821" w:rsidP="005F69C5">
      <w:pPr>
        <w:spacing w:after="0"/>
        <w:jc w:val="center"/>
        <w:rPr>
          <w:i/>
        </w:rPr>
      </w:pPr>
      <w:r w:rsidRPr="00D903CD">
        <w:br w:type="page"/>
      </w:r>
      <w:r w:rsidR="003D7FC3" w:rsidRPr="00D903CD">
        <w:rPr>
          <w:i/>
        </w:rPr>
        <w:lastRenderedPageBreak/>
        <w:t>Demande de crédit d’investissements</w:t>
      </w:r>
    </w:p>
    <w:p w14:paraId="03FA00C9" w14:textId="77777777" w:rsidR="00492C34" w:rsidRPr="00D903CD" w:rsidRDefault="00492C34" w:rsidP="00492C34">
      <w:pPr>
        <w:spacing w:after="0"/>
        <w:jc w:val="center"/>
        <w:rPr>
          <w:i/>
        </w:rPr>
      </w:pPr>
    </w:p>
    <w:p w14:paraId="28FCDEB6" w14:textId="74E4F75B" w:rsidR="00811ED2" w:rsidRDefault="008B3559" w:rsidP="00CD772C">
      <w:pPr>
        <w:spacing w:after="0"/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 wp14:anchorId="0EF2551F" wp14:editId="01B851DE">
            <wp:extent cx="6086475" cy="2543175"/>
            <wp:effectExtent l="0" t="0" r="9525" b="9525"/>
            <wp:docPr id="24" name="Graphique 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07F8AEBB" w14:textId="77777777" w:rsidR="009C1E26" w:rsidRPr="00D903CD" w:rsidRDefault="009C1E26" w:rsidP="00CD772C">
      <w:pPr>
        <w:spacing w:after="0"/>
        <w:jc w:val="center"/>
        <w:rPr>
          <w:noProof/>
          <w:lang w:eastAsia="fr-FR"/>
        </w:rPr>
      </w:pPr>
    </w:p>
    <w:p w14:paraId="6A5401C4" w14:textId="7644ECC7" w:rsidR="002C4850" w:rsidRPr="00D903CD" w:rsidRDefault="000C018A" w:rsidP="002C4850">
      <w:pPr>
        <w:spacing w:after="0"/>
        <w:jc w:val="both"/>
      </w:pPr>
      <w:r w:rsidRPr="00D903CD">
        <w:rPr>
          <w:b/>
        </w:rPr>
        <w:t>Ce trimestre</w:t>
      </w:r>
      <w:r w:rsidR="00EE053B">
        <w:rPr>
          <w:b/>
        </w:rPr>
        <w:t>,</w:t>
      </w:r>
      <w:r w:rsidRPr="00D903CD">
        <w:rPr>
          <w:b/>
        </w:rPr>
        <w:t xml:space="preserve"> </w:t>
      </w:r>
      <w:r w:rsidR="002C4850" w:rsidRPr="00D903CD">
        <w:t xml:space="preserve">la demande de nouveaux crédits d’investissements </w:t>
      </w:r>
      <w:r w:rsidR="00754B3E">
        <w:t xml:space="preserve">est </w:t>
      </w:r>
      <w:r w:rsidR="009C1E26">
        <w:t xml:space="preserve">de </w:t>
      </w:r>
      <w:r w:rsidR="00C3221C">
        <w:t>(</w:t>
      </w:r>
      <w:r w:rsidR="008B3559">
        <w:t>7</w:t>
      </w:r>
      <w:r w:rsidR="000C2A4D">
        <w:t>,0</w:t>
      </w:r>
      <w:r w:rsidR="00E62A73" w:rsidRPr="00D903CD">
        <w:t xml:space="preserve">%) </w:t>
      </w:r>
      <w:r w:rsidR="00824DD0">
        <w:t xml:space="preserve">soit </w:t>
      </w:r>
      <w:r w:rsidR="008B3559">
        <w:t>1</w:t>
      </w:r>
      <w:r w:rsidR="00824DD0">
        <w:t xml:space="preserve"> point de </w:t>
      </w:r>
      <w:r w:rsidR="008B3559">
        <w:t>plus</w:t>
      </w:r>
      <w:r w:rsidR="00824DD0">
        <w:t xml:space="preserve"> qu’au </w:t>
      </w:r>
      <w:r w:rsidR="002C4850" w:rsidRPr="00D903CD">
        <w:t>trimestre précédent</w:t>
      </w:r>
      <w:r w:rsidR="00547F6B" w:rsidRPr="00D903CD">
        <w:t xml:space="preserve"> (</w:t>
      </w:r>
      <w:r w:rsidR="008B3559">
        <w:t>6</w:t>
      </w:r>
      <w:r w:rsidR="00D920B2">
        <w:t>,0</w:t>
      </w:r>
      <w:r w:rsidR="00733EA7" w:rsidRPr="00D903CD">
        <w:t>%)</w:t>
      </w:r>
      <w:r w:rsidR="000C2A4D">
        <w:t>.</w:t>
      </w:r>
      <w:r w:rsidR="00D920B2">
        <w:t xml:space="preserve"> </w:t>
      </w:r>
    </w:p>
    <w:p w14:paraId="33D4A122" w14:textId="77777777" w:rsidR="002C4850" w:rsidRPr="00D903CD" w:rsidRDefault="002C4850" w:rsidP="006F6244">
      <w:pPr>
        <w:spacing w:after="0"/>
        <w:ind w:right="17"/>
        <w:jc w:val="both"/>
        <w:rPr>
          <w:b/>
        </w:rPr>
      </w:pPr>
    </w:p>
    <w:p w14:paraId="7F366286" w14:textId="69369B49" w:rsidR="003D7FC3" w:rsidRPr="00D903CD" w:rsidRDefault="003D7FC3" w:rsidP="006F6244">
      <w:pPr>
        <w:spacing w:after="0"/>
        <w:jc w:val="both"/>
      </w:pPr>
      <w:r w:rsidRPr="00D903CD">
        <w:t xml:space="preserve">Parmi ces entreprises </w:t>
      </w:r>
      <w:r w:rsidR="00D76FE2" w:rsidRPr="00D903CD">
        <w:t xml:space="preserve">encore </w:t>
      </w:r>
      <w:r w:rsidR="009C1E26">
        <w:t>8</w:t>
      </w:r>
      <w:r w:rsidR="00B206BC">
        <w:t>5</w:t>
      </w:r>
      <w:r w:rsidRPr="00D903CD">
        <w:t>% ont obtenu un crédit d’investissement</w:t>
      </w:r>
      <w:r w:rsidR="004726B0" w:rsidRPr="00D903CD">
        <w:t>s</w:t>
      </w:r>
      <w:r w:rsidR="00BD78DB" w:rsidRPr="00D903CD">
        <w:t xml:space="preserve"> </w:t>
      </w:r>
      <w:r w:rsidRPr="00D903CD">
        <w:t xml:space="preserve">à hauteur de </w:t>
      </w:r>
      <w:r w:rsidR="007C7741" w:rsidRPr="00D903CD">
        <w:t>75</w:t>
      </w:r>
      <w:r w:rsidRPr="00D903CD">
        <w:t xml:space="preserve">% au moins du montant sollicité. </w:t>
      </w:r>
      <w:r w:rsidR="00B206BC">
        <w:t xml:space="preserve">(Contre 89 % au trimestre précédent. </w:t>
      </w:r>
    </w:p>
    <w:p w14:paraId="646EB254" w14:textId="07D850AE" w:rsidR="003D7FC3" w:rsidRPr="00D903CD" w:rsidRDefault="00324422" w:rsidP="006F6244">
      <w:pPr>
        <w:spacing w:after="0"/>
        <w:jc w:val="both"/>
      </w:pPr>
      <w:r w:rsidRPr="00D903CD">
        <w:t>S’agissant plus particulièrement d</w:t>
      </w:r>
      <w:r w:rsidR="007F4618" w:rsidRPr="00D903CD">
        <w:t>es crédits</w:t>
      </w:r>
      <w:r w:rsidR="00330070" w:rsidRPr="00D903CD">
        <w:t xml:space="preserve"> d’équipement</w:t>
      </w:r>
      <w:r w:rsidR="007E5D5C" w:rsidRPr="00D903CD">
        <w:t>,</w:t>
      </w:r>
      <w:r w:rsidR="00BD78DB" w:rsidRPr="00D903CD">
        <w:t xml:space="preserve"> </w:t>
      </w:r>
      <w:r w:rsidR="00570FDA">
        <w:t>le taux d’obtention augment</w:t>
      </w:r>
      <w:r w:rsidR="00B206BC">
        <w:t>e</w:t>
      </w:r>
      <w:r w:rsidR="00570FDA">
        <w:t xml:space="preserve"> légèrement 9</w:t>
      </w:r>
      <w:r w:rsidR="00B206BC">
        <w:t>3</w:t>
      </w:r>
      <w:r w:rsidR="001A1631">
        <w:t>%</w:t>
      </w:r>
      <w:r w:rsidR="007E5D5C" w:rsidRPr="00D903CD">
        <w:t xml:space="preserve"> des entreprises interrogées indiquent obtenir satisfaction en totalité ou en grande partie.</w:t>
      </w:r>
    </w:p>
    <w:p w14:paraId="05BC1FE7" w14:textId="77777777" w:rsidR="007F4618" w:rsidRPr="00D903CD" w:rsidRDefault="007F4618" w:rsidP="007F4618">
      <w:pPr>
        <w:spacing w:after="0"/>
      </w:pPr>
    </w:p>
    <w:p w14:paraId="1D209D2A" w14:textId="77777777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>Raisons de l’absence de demande de crédit d’investissements</w:t>
      </w:r>
      <w:r w:rsidR="00BD78DB" w:rsidRPr="00D903CD">
        <w:rPr>
          <w:i/>
        </w:rPr>
        <w:t xml:space="preserve"> </w:t>
      </w:r>
      <w:r w:rsidRPr="00D903CD">
        <w:rPr>
          <w:i/>
        </w:rPr>
        <w:t xml:space="preserve">dans les TPE </w:t>
      </w:r>
    </w:p>
    <w:p w14:paraId="073A093C" w14:textId="4B75EBF6" w:rsidR="003D7FC3" w:rsidRPr="00D903CD" w:rsidRDefault="008B3559" w:rsidP="003D7FC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05EA0833" wp14:editId="7E49391B">
            <wp:extent cx="6524625" cy="3095625"/>
            <wp:effectExtent l="0" t="0" r="9525" b="9525"/>
            <wp:docPr id="26" name="Graphique 2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58810662" w14:textId="79E8577D" w:rsidR="003D7FC3" w:rsidRPr="00D903CD" w:rsidRDefault="003D7FC3" w:rsidP="006F6244">
      <w:pPr>
        <w:jc w:val="both"/>
      </w:pPr>
      <w:r w:rsidRPr="00D903CD">
        <w:t>Comme pour le crédit de trésorerie, la cause principale de l’absence de demande de crédit d’investissements est l’absence de besoin (</w:t>
      </w:r>
      <w:r w:rsidR="000C2A4D">
        <w:t>5</w:t>
      </w:r>
      <w:r w:rsidR="008B3559">
        <w:t>6</w:t>
      </w:r>
      <w:r w:rsidR="000C2A4D">
        <w:t>,</w:t>
      </w:r>
      <w:r w:rsidR="00570FDA">
        <w:t>4</w:t>
      </w:r>
      <w:r w:rsidR="008B3559">
        <w:t>1</w:t>
      </w:r>
      <w:r w:rsidRPr="00D903CD">
        <w:t>%). L’autocensure</w:t>
      </w:r>
      <w:r w:rsidR="00601534" w:rsidRPr="00D903CD">
        <w:t xml:space="preserve"> (</w:t>
      </w:r>
      <w:r w:rsidRPr="00D903CD">
        <w:t>au sens de la crainte d’un refus du banquier</w:t>
      </w:r>
      <w:r w:rsidR="007C7741" w:rsidRPr="00D903CD">
        <w:t>)</w:t>
      </w:r>
      <w:r w:rsidR="00BD78DB" w:rsidRPr="00D903CD">
        <w:t xml:space="preserve"> </w:t>
      </w:r>
      <w:r w:rsidRPr="00D903CD">
        <w:t xml:space="preserve">est marginale </w:t>
      </w:r>
      <w:r w:rsidR="000C2A4D">
        <w:t>1,</w:t>
      </w:r>
      <w:r w:rsidR="00570FDA">
        <w:t>6</w:t>
      </w:r>
      <w:r w:rsidRPr="00D903CD">
        <w:t>%.</w:t>
      </w:r>
    </w:p>
    <w:p w14:paraId="68DEB14B" w14:textId="61715C3B" w:rsidR="00EE053B" w:rsidRDefault="00EE053B" w:rsidP="00EE053B">
      <w:pPr>
        <w:spacing w:after="0"/>
        <w:ind w:right="17"/>
      </w:pPr>
      <w:r w:rsidRPr="00E10FB4">
        <w:rPr>
          <w:b/>
        </w:rPr>
        <w:t>L’auto censure</w:t>
      </w:r>
      <w:r>
        <w:t> :</w:t>
      </w:r>
      <w:r w:rsidR="00E10FB4">
        <w:t xml:space="preserve"> </w:t>
      </w:r>
      <w:r>
        <w:t>Un comportement d’autocensure désigne une situation où une entreprise ne sollicite pas de nouveau crédit bancaire car elle anticipe un ref</w:t>
      </w:r>
      <w:r w:rsidR="004C38CD">
        <w:t>u</w:t>
      </w:r>
      <w:r>
        <w:t>s des banques.</w:t>
      </w:r>
    </w:p>
    <w:p w14:paraId="42448654" w14:textId="77777777" w:rsidR="00EE053B" w:rsidRPr="00EE053B" w:rsidRDefault="00EE053B" w:rsidP="00EE053B">
      <w:pPr>
        <w:spacing w:after="0"/>
        <w:ind w:right="17"/>
      </w:pPr>
      <w:r>
        <w:t>Au cours du dernier trimestr</w:t>
      </w:r>
      <w:r w:rsidR="00E10FB4">
        <w:t xml:space="preserve">e, ce phénomène reste marginal. </w:t>
      </w:r>
      <w:r w:rsidR="0083144B">
        <w:t xml:space="preserve">Un peu plus </w:t>
      </w:r>
      <w:r w:rsidR="00E10FB4">
        <w:t xml:space="preserve">de </w:t>
      </w:r>
      <w:r w:rsidR="0083144B">
        <w:t>1</w:t>
      </w:r>
      <w:r w:rsidR="00E10FB4">
        <w:t>% des entreprises déclarent un comportement d’autocensure pour expliquer leur absence de demande de crédit de trésorerie ou d’investissement.</w:t>
      </w:r>
      <w:r>
        <w:t xml:space="preserve"> </w:t>
      </w:r>
    </w:p>
    <w:p w14:paraId="59E21690" w14:textId="77777777" w:rsidR="00D855C8" w:rsidRDefault="00D855C8" w:rsidP="003D7FC3">
      <w:pPr>
        <w:ind w:right="16"/>
        <w:jc w:val="center"/>
        <w:rPr>
          <w:i/>
        </w:rPr>
      </w:pPr>
    </w:p>
    <w:p w14:paraId="5188682E" w14:textId="77777777" w:rsidR="003D7FC3" w:rsidRPr="00D903CD" w:rsidRDefault="003D7FC3" w:rsidP="003D7FC3">
      <w:pPr>
        <w:ind w:right="16"/>
        <w:jc w:val="center"/>
        <w:rPr>
          <w:i/>
        </w:rPr>
      </w:pPr>
      <w:r w:rsidRPr="00D903CD">
        <w:rPr>
          <w:i/>
        </w:rPr>
        <w:t xml:space="preserve">Demande de nouvelles exigences en matière de garantie </w:t>
      </w:r>
    </w:p>
    <w:p w14:paraId="79118CB1" w14:textId="756834ED" w:rsidR="003D7FC3" w:rsidRPr="00D903CD" w:rsidRDefault="008B3559" w:rsidP="003D7FC3">
      <w:pPr>
        <w:ind w:right="16"/>
        <w:jc w:val="center"/>
        <w:rPr>
          <w:i/>
        </w:rPr>
      </w:pPr>
      <w:r>
        <w:rPr>
          <w:noProof/>
        </w:rPr>
        <w:drawing>
          <wp:inline distT="0" distB="0" distL="0" distR="0" wp14:anchorId="39C36D79" wp14:editId="45685108">
            <wp:extent cx="6210300" cy="3114675"/>
            <wp:effectExtent l="0" t="0" r="0" b="9525"/>
            <wp:docPr id="29" name="Graphique 2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314F564A" w14:textId="603C39FA" w:rsidR="003D7FC3" w:rsidRDefault="00F3493F" w:rsidP="006F6244">
      <w:pPr>
        <w:ind w:right="16"/>
        <w:jc w:val="both"/>
      </w:pPr>
      <w:r w:rsidRPr="00D903CD">
        <w:t xml:space="preserve">Pour ce trimestre </w:t>
      </w:r>
      <w:r w:rsidR="008B3559">
        <w:t>20,2</w:t>
      </w:r>
      <w:r w:rsidR="007C7741" w:rsidRPr="00D903CD">
        <w:t>%</w:t>
      </w:r>
      <w:r w:rsidR="003D7FC3" w:rsidRPr="00D903CD">
        <w:t xml:space="preserve"> des TPE interrogées déclarent avoir été confrontées à de nouvelles</w:t>
      </w:r>
      <w:r w:rsidR="00BD78DB" w:rsidRPr="00D903CD">
        <w:t xml:space="preserve"> </w:t>
      </w:r>
      <w:r w:rsidR="003D7FC3" w:rsidRPr="00D903CD">
        <w:t>exigences de leur banque en matière de garanties (</w:t>
      </w:r>
      <w:r w:rsidR="003B5C7B" w:rsidRPr="00D903CD">
        <w:t>1</w:t>
      </w:r>
      <w:r w:rsidR="008B3559">
        <w:t>6</w:t>
      </w:r>
      <w:r w:rsidR="00570FDA">
        <w:t>,8</w:t>
      </w:r>
      <w:r w:rsidR="006F6244" w:rsidRPr="00D903CD">
        <w:t>% au trimestre précédent).</w:t>
      </w:r>
    </w:p>
    <w:p w14:paraId="754BB4FA" w14:textId="79F8CAFE" w:rsidR="003D7FC3" w:rsidRPr="00D903CD" w:rsidRDefault="003D7FC3" w:rsidP="003D7FC3">
      <w:pPr>
        <w:spacing w:after="0"/>
        <w:ind w:right="17"/>
        <w:jc w:val="center"/>
        <w:rPr>
          <w:i/>
        </w:rPr>
      </w:pPr>
      <w:r w:rsidRPr="00D903CD">
        <w:rPr>
          <w:i/>
        </w:rPr>
        <w:t>Comparatif Résultats enquête</w:t>
      </w:r>
      <w:r w:rsidR="00844D15" w:rsidRPr="00D903CD">
        <w:rPr>
          <w:i/>
        </w:rPr>
        <w:t xml:space="preserve"> </w:t>
      </w:r>
      <w:r w:rsidR="008B3559">
        <w:rPr>
          <w:i/>
        </w:rPr>
        <w:t>2</w:t>
      </w:r>
      <w:r w:rsidR="00D855C8">
        <w:rPr>
          <w:i/>
        </w:rPr>
        <w:t>T2022-</w:t>
      </w:r>
      <w:r w:rsidR="008B3559">
        <w:rPr>
          <w:i/>
        </w:rPr>
        <w:t>2</w:t>
      </w:r>
      <w:r w:rsidR="00D855C8">
        <w:rPr>
          <w:i/>
        </w:rPr>
        <w:t>T2021</w:t>
      </w:r>
    </w:p>
    <w:p w14:paraId="746ADF11" w14:textId="77777777" w:rsidR="003D7FC3" w:rsidRPr="00D903CD" w:rsidRDefault="003D7FC3" w:rsidP="003D7FC3">
      <w:pPr>
        <w:spacing w:after="0"/>
        <w:ind w:right="17"/>
        <w:jc w:val="center"/>
        <w:rPr>
          <w:i/>
        </w:rPr>
      </w:pPr>
      <w:r w:rsidRPr="00D903CD">
        <w:rPr>
          <w:i/>
        </w:rPr>
        <w:t>Enquête liée à l’accès au crédit de trésorerie et d’investissement</w:t>
      </w:r>
    </w:p>
    <w:p w14:paraId="42FC7FF1" w14:textId="77777777" w:rsidR="003D7FC3" w:rsidRPr="00D903CD" w:rsidRDefault="003D7FC3" w:rsidP="003D7FC3">
      <w:pPr>
        <w:spacing w:after="0"/>
        <w:ind w:right="17"/>
        <w:jc w:val="center"/>
        <w:rPr>
          <w:noProof/>
          <w:lang w:eastAsia="fr-FR"/>
        </w:rPr>
      </w:pPr>
    </w:p>
    <w:p w14:paraId="6BC528A0" w14:textId="11346FD8" w:rsidR="00351777" w:rsidRPr="00D903CD" w:rsidRDefault="008B3559" w:rsidP="003D7FC3">
      <w:pPr>
        <w:spacing w:after="0"/>
        <w:ind w:right="17"/>
        <w:jc w:val="center"/>
        <w:rPr>
          <w:i/>
        </w:rPr>
      </w:pPr>
      <w:r>
        <w:rPr>
          <w:noProof/>
        </w:rPr>
        <w:drawing>
          <wp:inline distT="0" distB="0" distL="0" distR="0" wp14:anchorId="23B35C41" wp14:editId="32E6F897">
            <wp:extent cx="5838825" cy="3914775"/>
            <wp:effectExtent l="0" t="0" r="9525" b="9525"/>
            <wp:docPr id="30" name="Graphique 3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E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33315277" w14:textId="6268F7DD" w:rsidR="004426C4" w:rsidRPr="00385474" w:rsidRDefault="00B05523" w:rsidP="00B206BC">
      <w:pPr>
        <w:ind w:right="118"/>
        <w:jc w:val="both"/>
      </w:pPr>
      <w:r w:rsidRPr="00D903CD">
        <w:t xml:space="preserve">Au </w:t>
      </w:r>
      <w:r w:rsidR="008B3559">
        <w:t>2</w:t>
      </w:r>
      <w:r w:rsidR="008B3559" w:rsidRPr="008B3559">
        <w:rPr>
          <w:vertAlign w:val="superscript"/>
        </w:rPr>
        <w:t>nd</w:t>
      </w:r>
      <w:r w:rsidR="00570FDA">
        <w:t xml:space="preserve"> </w:t>
      </w:r>
      <w:r w:rsidR="003B5C7B" w:rsidRPr="00D903CD">
        <w:t>trimestre</w:t>
      </w:r>
      <w:r w:rsidR="00E62A73" w:rsidRPr="00D903CD">
        <w:t xml:space="preserve"> 202</w:t>
      </w:r>
      <w:r w:rsidR="00570FDA">
        <w:t>2</w:t>
      </w:r>
      <w:r w:rsidR="005B3F18" w:rsidRPr="00D903CD">
        <w:t xml:space="preserve"> par rapport au </w:t>
      </w:r>
      <w:r w:rsidR="008B3559">
        <w:t>2</w:t>
      </w:r>
      <w:r w:rsidR="008B3559" w:rsidRPr="008B3559">
        <w:rPr>
          <w:vertAlign w:val="superscript"/>
        </w:rPr>
        <w:t>nd</w:t>
      </w:r>
      <w:r w:rsidR="008B3559">
        <w:t xml:space="preserve"> t</w:t>
      </w:r>
      <w:r w:rsidR="00E62A73" w:rsidRPr="00D903CD">
        <w:t>rimestre 20</w:t>
      </w:r>
      <w:r w:rsidR="00A06F04">
        <w:t>2</w:t>
      </w:r>
      <w:r w:rsidR="00570FDA">
        <w:t>1</w:t>
      </w:r>
      <w:r w:rsidR="005B3F18" w:rsidRPr="00D903CD">
        <w:t>,</w:t>
      </w:r>
      <w:r w:rsidR="003D7FC3" w:rsidRPr="00D903CD">
        <w:t xml:space="preserve"> la demande des TPE</w:t>
      </w:r>
      <w:r w:rsidR="00BD78DB" w:rsidRPr="00D903CD">
        <w:t xml:space="preserve"> </w:t>
      </w:r>
      <w:r w:rsidR="008B3559">
        <w:t xml:space="preserve">reste stable </w:t>
      </w:r>
      <w:r w:rsidR="003D7FC3" w:rsidRPr="00D903CD">
        <w:t>pour</w:t>
      </w:r>
      <w:r w:rsidR="00BD78DB" w:rsidRPr="00D903CD">
        <w:t xml:space="preserve"> </w:t>
      </w:r>
      <w:r w:rsidR="003D7FC3" w:rsidRPr="00D903CD">
        <w:t>les crédits de trésorerie</w:t>
      </w:r>
      <w:r w:rsidR="00BD78DB" w:rsidRPr="00D903CD">
        <w:t xml:space="preserve"> </w:t>
      </w:r>
      <w:r w:rsidR="008B3559">
        <w:t>5,4</w:t>
      </w:r>
      <w:r w:rsidRPr="00D903CD">
        <w:t>%</w:t>
      </w:r>
      <w:r w:rsidR="006F6244" w:rsidRPr="00D903CD">
        <w:t xml:space="preserve"> </w:t>
      </w:r>
      <w:r w:rsidRPr="00D903CD">
        <w:t xml:space="preserve">vs </w:t>
      </w:r>
      <w:r w:rsidR="008B3559">
        <w:t>5,5</w:t>
      </w:r>
      <w:r w:rsidR="00570FDA">
        <w:t>%</w:t>
      </w:r>
      <w:r w:rsidRPr="00D903CD">
        <w:t>,</w:t>
      </w:r>
      <w:r w:rsidR="00243095" w:rsidRPr="00D903CD">
        <w:t xml:space="preserve"> la demande concernant </w:t>
      </w:r>
      <w:r w:rsidR="00F3493F" w:rsidRPr="00D903CD">
        <w:t xml:space="preserve">les </w:t>
      </w:r>
      <w:r w:rsidR="003D7FC3" w:rsidRPr="00D903CD">
        <w:t>crédits d’investissements</w:t>
      </w:r>
      <w:r w:rsidR="00F3493F" w:rsidRPr="00D903CD">
        <w:t xml:space="preserve"> </w:t>
      </w:r>
      <w:r w:rsidR="008B3559">
        <w:t>augmente légèrement 7,0</w:t>
      </w:r>
      <w:r w:rsidRPr="00D903CD">
        <w:t xml:space="preserve">% vs </w:t>
      </w:r>
      <w:r w:rsidR="008B3559">
        <w:t>6</w:t>
      </w:r>
      <w:r w:rsidR="00570FDA">
        <w:t>,5</w:t>
      </w:r>
      <w:r w:rsidRPr="00D903CD">
        <w:t>%</w:t>
      </w:r>
      <w:r w:rsidR="00D32E61" w:rsidRPr="00D903CD">
        <w:t>. L</w:t>
      </w:r>
      <w:r w:rsidRPr="00D903CD">
        <w:t>a demande de nouvelles exigences</w:t>
      </w:r>
      <w:r w:rsidR="00A7642C" w:rsidRPr="00D903CD">
        <w:t xml:space="preserve"> est </w:t>
      </w:r>
      <w:r w:rsidR="00570FDA">
        <w:t>hausse (</w:t>
      </w:r>
      <w:r w:rsidR="008B3559">
        <w:t>20,2</w:t>
      </w:r>
      <w:r w:rsidR="0087535D" w:rsidRPr="00D903CD">
        <w:t>%</w:t>
      </w:r>
      <w:r w:rsidR="005B3F18" w:rsidRPr="00D903CD">
        <w:t xml:space="preserve"> </w:t>
      </w:r>
      <w:r w:rsidR="00243095" w:rsidRPr="00D903CD">
        <w:t>en 20</w:t>
      </w:r>
      <w:r w:rsidR="00E62A73" w:rsidRPr="00D903CD">
        <w:t>2</w:t>
      </w:r>
      <w:r w:rsidR="00570FDA">
        <w:t>2</w:t>
      </w:r>
      <w:r w:rsidR="00AF5C53" w:rsidRPr="00D903CD">
        <w:t xml:space="preserve"> </w:t>
      </w:r>
      <w:r w:rsidR="005B3F18" w:rsidRPr="00D903CD">
        <w:t xml:space="preserve">contre </w:t>
      </w:r>
      <w:r w:rsidR="00A06F04">
        <w:t>1</w:t>
      </w:r>
      <w:r w:rsidR="00570FDA">
        <w:t>5,</w:t>
      </w:r>
      <w:r w:rsidR="008B3559">
        <w:t>5</w:t>
      </w:r>
      <w:r w:rsidR="00B206BC">
        <w:t>%</w:t>
      </w:r>
      <w:r w:rsidR="008B3559">
        <w:t xml:space="preserve"> </w:t>
      </w:r>
      <w:r w:rsidR="00D32E61" w:rsidRPr="00D903CD">
        <w:t xml:space="preserve">en </w:t>
      </w:r>
      <w:r w:rsidR="00243095" w:rsidRPr="00D903CD">
        <w:t>20</w:t>
      </w:r>
      <w:r w:rsidR="00A06F04">
        <w:t>2</w:t>
      </w:r>
      <w:r w:rsidR="00570FDA">
        <w:t>1.</w:t>
      </w:r>
      <w:r w:rsidR="0069610D">
        <w:t xml:space="preserve"> </w:t>
      </w:r>
      <w:bookmarkStart w:id="0" w:name="_GoBack"/>
      <w:bookmarkEnd w:id="0"/>
    </w:p>
    <w:sectPr w:rsidR="004426C4" w:rsidRPr="00385474" w:rsidSect="000C018A">
      <w:footerReference w:type="default" r:id="rId25"/>
      <w:pgSz w:w="11906" w:h="16838"/>
      <w:pgMar w:top="720" w:right="424" w:bottom="720" w:left="720" w:header="17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50AAC" w14:textId="77777777" w:rsidR="00E04B78" w:rsidRDefault="00E04B78">
      <w:r>
        <w:separator/>
      </w:r>
    </w:p>
  </w:endnote>
  <w:endnote w:type="continuationSeparator" w:id="0">
    <w:p w14:paraId="3CC4FEC8" w14:textId="77777777" w:rsidR="00E04B78" w:rsidRDefault="00E0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F3EEC" w14:textId="32FFD7EA" w:rsidR="00E04B78" w:rsidRPr="00A45DFC" w:rsidRDefault="00E04B78">
    <w:pPr>
      <w:pStyle w:val="Pieddepage"/>
      <w:rPr>
        <w:sz w:val="18"/>
        <w:szCs w:val="18"/>
      </w:rPr>
    </w:pPr>
    <w:r w:rsidRPr="00A45DFC">
      <w:rPr>
        <w:sz w:val="18"/>
        <w:szCs w:val="18"/>
      </w:rPr>
      <w:t>Baromètre</w:t>
    </w:r>
    <w:r>
      <w:rPr>
        <w:sz w:val="18"/>
        <w:szCs w:val="18"/>
      </w:rPr>
      <w:t xml:space="preserve"> </w:t>
    </w:r>
    <w:r w:rsidR="00EA2D55">
      <w:rPr>
        <w:sz w:val="18"/>
        <w:szCs w:val="18"/>
      </w:rPr>
      <w:t>2T2022</w:t>
    </w:r>
    <w:r w:rsidRPr="00A45DFC">
      <w:rPr>
        <w:sz w:val="18"/>
        <w:szCs w:val="18"/>
      </w:rPr>
      <w:tab/>
    </w:r>
    <w:r w:rsidRPr="00A45DFC">
      <w:rPr>
        <w:sz w:val="18"/>
        <w:szCs w:val="18"/>
      </w:rPr>
      <w:tab/>
      <w:t xml:space="preserve">Page </w:t>
    </w:r>
    <w:r w:rsidRPr="00A45DFC">
      <w:rPr>
        <w:rStyle w:val="Numrodepage"/>
        <w:sz w:val="18"/>
        <w:szCs w:val="18"/>
      </w:rPr>
      <w:fldChar w:fldCharType="begin"/>
    </w:r>
    <w:r w:rsidRPr="00A45DFC">
      <w:rPr>
        <w:rStyle w:val="Numrodepage"/>
        <w:sz w:val="18"/>
        <w:szCs w:val="18"/>
      </w:rPr>
      <w:instrText xml:space="preserve"> PAGE </w:instrText>
    </w:r>
    <w:r w:rsidRPr="00A45DFC">
      <w:rPr>
        <w:rStyle w:val="Numrodepage"/>
        <w:sz w:val="18"/>
        <w:szCs w:val="18"/>
      </w:rPr>
      <w:fldChar w:fldCharType="separate"/>
    </w:r>
    <w:r w:rsidR="00F536B5">
      <w:rPr>
        <w:rStyle w:val="Numrodepage"/>
        <w:noProof/>
        <w:sz w:val="18"/>
        <w:szCs w:val="18"/>
      </w:rPr>
      <w:t>12</w:t>
    </w:r>
    <w:r w:rsidRPr="00A45DFC">
      <w:rPr>
        <w:rStyle w:val="Numrodepage"/>
        <w:sz w:val="18"/>
        <w:szCs w:val="18"/>
      </w:rPr>
      <w:fldChar w:fldCharType="end"/>
    </w:r>
    <w:r w:rsidRPr="00A45DFC">
      <w:rPr>
        <w:rStyle w:val="Numrodepage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58558" w14:textId="77777777" w:rsidR="00E04B78" w:rsidRDefault="00E04B78">
      <w:r>
        <w:separator/>
      </w:r>
    </w:p>
  </w:footnote>
  <w:footnote w:type="continuationSeparator" w:id="0">
    <w:p w14:paraId="08AEFE03" w14:textId="77777777" w:rsidR="00E04B78" w:rsidRDefault="00E0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E9"/>
      </v:shape>
    </w:pict>
  </w:numPicBullet>
  <w:abstractNum w:abstractNumId="0" w15:restartNumberingAfterBreak="0">
    <w:nsid w:val="054902B4"/>
    <w:multiLevelType w:val="multilevel"/>
    <w:tmpl w:val="BCA6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53FC4"/>
    <w:multiLevelType w:val="hybridMultilevel"/>
    <w:tmpl w:val="AB5EE95C"/>
    <w:lvl w:ilvl="0" w:tplc="8CD8B934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459451E"/>
    <w:multiLevelType w:val="hybridMultilevel"/>
    <w:tmpl w:val="B19E694C"/>
    <w:lvl w:ilvl="0" w:tplc="BD40B5BE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84C3C"/>
    <w:multiLevelType w:val="hybridMultilevel"/>
    <w:tmpl w:val="49CEF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F76F3"/>
    <w:multiLevelType w:val="multilevel"/>
    <w:tmpl w:val="409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8D0CD3"/>
    <w:multiLevelType w:val="hybridMultilevel"/>
    <w:tmpl w:val="94F064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7067C"/>
    <w:multiLevelType w:val="multilevel"/>
    <w:tmpl w:val="B19E694C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33ED"/>
    <w:multiLevelType w:val="multilevel"/>
    <w:tmpl w:val="8DBC0920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68323E9"/>
    <w:multiLevelType w:val="multilevel"/>
    <w:tmpl w:val="B36852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91C4781"/>
    <w:multiLevelType w:val="hybridMultilevel"/>
    <w:tmpl w:val="AACA83D4"/>
    <w:lvl w:ilvl="0" w:tplc="685E79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50732"/>
    <w:multiLevelType w:val="multilevel"/>
    <w:tmpl w:val="972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928F6"/>
    <w:multiLevelType w:val="multilevel"/>
    <w:tmpl w:val="2D789F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451182E"/>
    <w:multiLevelType w:val="hybridMultilevel"/>
    <w:tmpl w:val="D1483848"/>
    <w:lvl w:ilvl="0" w:tplc="08B200B0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E931349"/>
    <w:multiLevelType w:val="hybridMultilevel"/>
    <w:tmpl w:val="3454FA42"/>
    <w:lvl w:ilvl="0" w:tplc="685E79AE">
      <w:start w:val="1"/>
      <w:numFmt w:val="bullet"/>
      <w:lvlText w:val=""/>
      <w:lvlPicBulletId w:val="0"/>
      <w:lvlJc w:val="left"/>
      <w:pPr>
        <w:tabs>
          <w:tab w:val="num" w:pos="6881"/>
        </w:tabs>
        <w:ind w:left="68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506EA"/>
    <w:multiLevelType w:val="hybridMultilevel"/>
    <w:tmpl w:val="50309C24"/>
    <w:lvl w:ilvl="0" w:tplc="685E79A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B4B9B"/>
    <w:multiLevelType w:val="multilevel"/>
    <w:tmpl w:val="72EE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8"/>
  </w:num>
  <w:num w:numId="7">
    <w:abstractNumId w:val="1"/>
  </w:num>
  <w:num w:numId="8">
    <w:abstractNumId w:val="11"/>
  </w:num>
  <w:num w:numId="9">
    <w:abstractNumId w:val="9"/>
  </w:num>
  <w:num w:numId="10">
    <w:abstractNumId w:val="15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63F"/>
    <w:rsid w:val="00002BEF"/>
    <w:rsid w:val="0000789E"/>
    <w:rsid w:val="000101A0"/>
    <w:rsid w:val="000159F5"/>
    <w:rsid w:val="0001666E"/>
    <w:rsid w:val="000269B8"/>
    <w:rsid w:val="0003038D"/>
    <w:rsid w:val="000326D7"/>
    <w:rsid w:val="00036AC2"/>
    <w:rsid w:val="000375C8"/>
    <w:rsid w:val="00037F1D"/>
    <w:rsid w:val="000410F0"/>
    <w:rsid w:val="000519BA"/>
    <w:rsid w:val="00053558"/>
    <w:rsid w:val="0006448F"/>
    <w:rsid w:val="000730DA"/>
    <w:rsid w:val="00074606"/>
    <w:rsid w:val="00077E45"/>
    <w:rsid w:val="000800DE"/>
    <w:rsid w:val="0008101A"/>
    <w:rsid w:val="00082770"/>
    <w:rsid w:val="000902FF"/>
    <w:rsid w:val="0009099D"/>
    <w:rsid w:val="00091255"/>
    <w:rsid w:val="00097352"/>
    <w:rsid w:val="000A144C"/>
    <w:rsid w:val="000B198C"/>
    <w:rsid w:val="000B1BD2"/>
    <w:rsid w:val="000B4180"/>
    <w:rsid w:val="000B787F"/>
    <w:rsid w:val="000C018A"/>
    <w:rsid w:val="000C0B11"/>
    <w:rsid w:val="000C2A4D"/>
    <w:rsid w:val="000C314D"/>
    <w:rsid w:val="000C6E6F"/>
    <w:rsid w:val="000C6F80"/>
    <w:rsid w:val="000C75B9"/>
    <w:rsid w:val="000C7A64"/>
    <w:rsid w:val="000D403C"/>
    <w:rsid w:val="000D5020"/>
    <w:rsid w:val="000D55F8"/>
    <w:rsid w:val="000E1BD0"/>
    <w:rsid w:val="000E284C"/>
    <w:rsid w:val="000E2FBC"/>
    <w:rsid w:val="000E7BA2"/>
    <w:rsid w:val="000F1029"/>
    <w:rsid w:val="000F4975"/>
    <w:rsid w:val="000F7550"/>
    <w:rsid w:val="00102784"/>
    <w:rsid w:val="00103420"/>
    <w:rsid w:val="00104CBB"/>
    <w:rsid w:val="00111212"/>
    <w:rsid w:val="0011295F"/>
    <w:rsid w:val="00112A11"/>
    <w:rsid w:val="00113E01"/>
    <w:rsid w:val="0011620A"/>
    <w:rsid w:val="00120075"/>
    <w:rsid w:val="0012064E"/>
    <w:rsid w:val="001207FD"/>
    <w:rsid w:val="001209A6"/>
    <w:rsid w:val="001239D7"/>
    <w:rsid w:val="00125F2A"/>
    <w:rsid w:val="001272D1"/>
    <w:rsid w:val="00130037"/>
    <w:rsid w:val="00132E87"/>
    <w:rsid w:val="00134330"/>
    <w:rsid w:val="00135FDA"/>
    <w:rsid w:val="0013619E"/>
    <w:rsid w:val="00137CAB"/>
    <w:rsid w:val="00137DBA"/>
    <w:rsid w:val="00137EE4"/>
    <w:rsid w:val="00141F53"/>
    <w:rsid w:val="0014389C"/>
    <w:rsid w:val="00144002"/>
    <w:rsid w:val="00151CEC"/>
    <w:rsid w:val="001525D6"/>
    <w:rsid w:val="00152F8C"/>
    <w:rsid w:val="001546DD"/>
    <w:rsid w:val="00156470"/>
    <w:rsid w:val="00160749"/>
    <w:rsid w:val="00161B1B"/>
    <w:rsid w:val="001627AF"/>
    <w:rsid w:val="0016520E"/>
    <w:rsid w:val="00165921"/>
    <w:rsid w:val="00167C08"/>
    <w:rsid w:val="001701B0"/>
    <w:rsid w:val="001729BC"/>
    <w:rsid w:val="00173C6F"/>
    <w:rsid w:val="00174CDE"/>
    <w:rsid w:val="001757B6"/>
    <w:rsid w:val="00175BED"/>
    <w:rsid w:val="00180425"/>
    <w:rsid w:val="00180C7A"/>
    <w:rsid w:val="0018176F"/>
    <w:rsid w:val="00183224"/>
    <w:rsid w:val="00183B02"/>
    <w:rsid w:val="0018477D"/>
    <w:rsid w:val="00186714"/>
    <w:rsid w:val="0018695D"/>
    <w:rsid w:val="00190631"/>
    <w:rsid w:val="00194BA4"/>
    <w:rsid w:val="00194DA3"/>
    <w:rsid w:val="00196FC5"/>
    <w:rsid w:val="001A0ACF"/>
    <w:rsid w:val="001A1631"/>
    <w:rsid w:val="001A19BE"/>
    <w:rsid w:val="001A3A05"/>
    <w:rsid w:val="001A6645"/>
    <w:rsid w:val="001B016B"/>
    <w:rsid w:val="001B2DA0"/>
    <w:rsid w:val="001B34C0"/>
    <w:rsid w:val="001B4F23"/>
    <w:rsid w:val="001C0E87"/>
    <w:rsid w:val="001C4A7E"/>
    <w:rsid w:val="001C6D87"/>
    <w:rsid w:val="001D118D"/>
    <w:rsid w:val="001D227D"/>
    <w:rsid w:val="001D368B"/>
    <w:rsid w:val="001D595B"/>
    <w:rsid w:val="001D6E3F"/>
    <w:rsid w:val="001E0AD2"/>
    <w:rsid w:val="001E1EAB"/>
    <w:rsid w:val="001E29C3"/>
    <w:rsid w:val="001E40D7"/>
    <w:rsid w:val="001E4E2E"/>
    <w:rsid w:val="001E5378"/>
    <w:rsid w:val="001E73AF"/>
    <w:rsid w:val="001F1163"/>
    <w:rsid w:val="001F39F2"/>
    <w:rsid w:val="001F6BBD"/>
    <w:rsid w:val="001F7063"/>
    <w:rsid w:val="002000F6"/>
    <w:rsid w:val="002023F1"/>
    <w:rsid w:val="0020313B"/>
    <w:rsid w:val="00204EF7"/>
    <w:rsid w:val="00210A6E"/>
    <w:rsid w:val="00211C34"/>
    <w:rsid w:val="0021299F"/>
    <w:rsid w:val="002153E6"/>
    <w:rsid w:val="00216D64"/>
    <w:rsid w:val="002213BC"/>
    <w:rsid w:val="0022474A"/>
    <w:rsid w:val="002264D8"/>
    <w:rsid w:val="002268AC"/>
    <w:rsid w:val="00232E67"/>
    <w:rsid w:val="00242938"/>
    <w:rsid w:val="00243095"/>
    <w:rsid w:val="00244E6A"/>
    <w:rsid w:val="0024666B"/>
    <w:rsid w:val="00250E15"/>
    <w:rsid w:val="0025125F"/>
    <w:rsid w:val="00252FC6"/>
    <w:rsid w:val="00255F2A"/>
    <w:rsid w:val="00256796"/>
    <w:rsid w:val="002567AA"/>
    <w:rsid w:val="00257258"/>
    <w:rsid w:val="00271B31"/>
    <w:rsid w:val="00272BF4"/>
    <w:rsid w:val="00272D5B"/>
    <w:rsid w:val="00277647"/>
    <w:rsid w:val="002829F1"/>
    <w:rsid w:val="00282CBA"/>
    <w:rsid w:val="00284E4E"/>
    <w:rsid w:val="00291B1B"/>
    <w:rsid w:val="00291F34"/>
    <w:rsid w:val="00294651"/>
    <w:rsid w:val="00297608"/>
    <w:rsid w:val="002978EC"/>
    <w:rsid w:val="002A1363"/>
    <w:rsid w:val="002A339F"/>
    <w:rsid w:val="002B15C5"/>
    <w:rsid w:val="002B2752"/>
    <w:rsid w:val="002B4595"/>
    <w:rsid w:val="002B6921"/>
    <w:rsid w:val="002B733C"/>
    <w:rsid w:val="002C0266"/>
    <w:rsid w:val="002C0A4A"/>
    <w:rsid w:val="002C0BC1"/>
    <w:rsid w:val="002C18AC"/>
    <w:rsid w:val="002C2952"/>
    <w:rsid w:val="002C4388"/>
    <w:rsid w:val="002C4850"/>
    <w:rsid w:val="002C4983"/>
    <w:rsid w:val="002C5658"/>
    <w:rsid w:val="002D2BB5"/>
    <w:rsid w:val="002D3B54"/>
    <w:rsid w:val="002F1302"/>
    <w:rsid w:val="002F43E0"/>
    <w:rsid w:val="002F5982"/>
    <w:rsid w:val="002F72F6"/>
    <w:rsid w:val="002F7650"/>
    <w:rsid w:val="0030098D"/>
    <w:rsid w:val="00304ADC"/>
    <w:rsid w:val="00306351"/>
    <w:rsid w:val="00307337"/>
    <w:rsid w:val="00311899"/>
    <w:rsid w:val="00314B07"/>
    <w:rsid w:val="0031619E"/>
    <w:rsid w:val="00316C1E"/>
    <w:rsid w:val="0031734A"/>
    <w:rsid w:val="003216E7"/>
    <w:rsid w:val="00324422"/>
    <w:rsid w:val="003249D7"/>
    <w:rsid w:val="00330070"/>
    <w:rsid w:val="00331240"/>
    <w:rsid w:val="0033376A"/>
    <w:rsid w:val="003338A1"/>
    <w:rsid w:val="0033526A"/>
    <w:rsid w:val="003375D5"/>
    <w:rsid w:val="00337876"/>
    <w:rsid w:val="003447C1"/>
    <w:rsid w:val="00350354"/>
    <w:rsid w:val="00351777"/>
    <w:rsid w:val="00351E8A"/>
    <w:rsid w:val="00354AA7"/>
    <w:rsid w:val="00355947"/>
    <w:rsid w:val="003560C1"/>
    <w:rsid w:val="00361DA7"/>
    <w:rsid w:val="0036363D"/>
    <w:rsid w:val="00371C61"/>
    <w:rsid w:val="00372CC3"/>
    <w:rsid w:val="00374BB2"/>
    <w:rsid w:val="0037576B"/>
    <w:rsid w:val="003766CF"/>
    <w:rsid w:val="003801C8"/>
    <w:rsid w:val="00382DC3"/>
    <w:rsid w:val="00385474"/>
    <w:rsid w:val="00392412"/>
    <w:rsid w:val="00393037"/>
    <w:rsid w:val="0039457E"/>
    <w:rsid w:val="00395991"/>
    <w:rsid w:val="003960CC"/>
    <w:rsid w:val="003A2132"/>
    <w:rsid w:val="003A5F58"/>
    <w:rsid w:val="003A63D8"/>
    <w:rsid w:val="003A791C"/>
    <w:rsid w:val="003B06D9"/>
    <w:rsid w:val="003B0E09"/>
    <w:rsid w:val="003B121C"/>
    <w:rsid w:val="003B17D5"/>
    <w:rsid w:val="003B481C"/>
    <w:rsid w:val="003B5C7B"/>
    <w:rsid w:val="003C1CF6"/>
    <w:rsid w:val="003C595E"/>
    <w:rsid w:val="003D10B8"/>
    <w:rsid w:val="003D136A"/>
    <w:rsid w:val="003D1B7F"/>
    <w:rsid w:val="003D3BB2"/>
    <w:rsid w:val="003D567E"/>
    <w:rsid w:val="003D7A7A"/>
    <w:rsid w:val="003D7BE1"/>
    <w:rsid w:val="003D7FC3"/>
    <w:rsid w:val="003E2482"/>
    <w:rsid w:val="003E322E"/>
    <w:rsid w:val="003E5C40"/>
    <w:rsid w:val="003E78B8"/>
    <w:rsid w:val="003E7BCB"/>
    <w:rsid w:val="003E7CE3"/>
    <w:rsid w:val="003F1843"/>
    <w:rsid w:val="003F20DE"/>
    <w:rsid w:val="003F3D88"/>
    <w:rsid w:val="00400F2C"/>
    <w:rsid w:val="0040119B"/>
    <w:rsid w:val="00407828"/>
    <w:rsid w:val="00411542"/>
    <w:rsid w:val="004129BF"/>
    <w:rsid w:val="00412D78"/>
    <w:rsid w:val="00412DE8"/>
    <w:rsid w:val="004145E3"/>
    <w:rsid w:val="00416C09"/>
    <w:rsid w:val="00417679"/>
    <w:rsid w:val="00417BDE"/>
    <w:rsid w:val="00417DA2"/>
    <w:rsid w:val="00423800"/>
    <w:rsid w:val="00423E96"/>
    <w:rsid w:val="00426C7E"/>
    <w:rsid w:val="0043073A"/>
    <w:rsid w:val="0043374D"/>
    <w:rsid w:val="00437C0D"/>
    <w:rsid w:val="0044029E"/>
    <w:rsid w:val="004426C4"/>
    <w:rsid w:val="00442AA8"/>
    <w:rsid w:val="004447A8"/>
    <w:rsid w:val="00445B53"/>
    <w:rsid w:val="004477EE"/>
    <w:rsid w:val="004549A6"/>
    <w:rsid w:val="00455C9F"/>
    <w:rsid w:val="004635C1"/>
    <w:rsid w:val="00464478"/>
    <w:rsid w:val="004726B0"/>
    <w:rsid w:val="004726FF"/>
    <w:rsid w:val="00474C0B"/>
    <w:rsid w:val="00474C36"/>
    <w:rsid w:val="00477327"/>
    <w:rsid w:val="00482FA4"/>
    <w:rsid w:val="00487810"/>
    <w:rsid w:val="00487BB4"/>
    <w:rsid w:val="004908B0"/>
    <w:rsid w:val="00492C34"/>
    <w:rsid w:val="00494976"/>
    <w:rsid w:val="004964E5"/>
    <w:rsid w:val="004A01BE"/>
    <w:rsid w:val="004A3088"/>
    <w:rsid w:val="004A6C3D"/>
    <w:rsid w:val="004B1287"/>
    <w:rsid w:val="004B1492"/>
    <w:rsid w:val="004B37AF"/>
    <w:rsid w:val="004B4600"/>
    <w:rsid w:val="004B635B"/>
    <w:rsid w:val="004B63B3"/>
    <w:rsid w:val="004C3203"/>
    <w:rsid w:val="004C38CD"/>
    <w:rsid w:val="004D6C2B"/>
    <w:rsid w:val="004D7AD7"/>
    <w:rsid w:val="004E0BA1"/>
    <w:rsid w:val="004E0E98"/>
    <w:rsid w:val="004E13F3"/>
    <w:rsid w:val="004E2900"/>
    <w:rsid w:val="004E400D"/>
    <w:rsid w:val="004F08FB"/>
    <w:rsid w:val="004F2216"/>
    <w:rsid w:val="004F3902"/>
    <w:rsid w:val="004F7F5A"/>
    <w:rsid w:val="005027C9"/>
    <w:rsid w:val="0050481C"/>
    <w:rsid w:val="00505C52"/>
    <w:rsid w:val="005165FB"/>
    <w:rsid w:val="00520DAB"/>
    <w:rsid w:val="0052441D"/>
    <w:rsid w:val="005338DB"/>
    <w:rsid w:val="00533A65"/>
    <w:rsid w:val="00534875"/>
    <w:rsid w:val="005351CC"/>
    <w:rsid w:val="005363FB"/>
    <w:rsid w:val="00537291"/>
    <w:rsid w:val="00543F07"/>
    <w:rsid w:val="005479DE"/>
    <w:rsid w:val="00547F6B"/>
    <w:rsid w:val="00554361"/>
    <w:rsid w:val="00554D21"/>
    <w:rsid w:val="00554EA4"/>
    <w:rsid w:val="00561E06"/>
    <w:rsid w:val="005628B5"/>
    <w:rsid w:val="00567151"/>
    <w:rsid w:val="00567677"/>
    <w:rsid w:val="00570FDA"/>
    <w:rsid w:val="0057154D"/>
    <w:rsid w:val="00572DBB"/>
    <w:rsid w:val="005730EC"/>
    <w:rsid w:val="00575D71"/>
    <w:rsid w:val="005775CC"/>
    <w:rsid w:val="005807F1"/>
    <w:rsid w:val="00581F20"/>
    <w:rsid w:val="0058347A"/>
    <w:rsid w:val="00583FB3"/>
    <w:rsid w:val="005843CD"/>
    <w:rsid w:val="0058651A"/>
    <w:rsid w:val="00590B6B"/>
    <w:rsid w:val="005A00BF"/>
    <w:rsid w:val="005A00DF"/>
    <w:rsid w:val="005A02D2"/>
    <w:rsid w:val="005A22DF"/>
    <w:rsid w:val="005A4A78"/>
    <w:rsid w:val="005B0214"/>
    <w:rsid w:val="005B3F18"/>
    <w:rsid w:val="005B4010"/>
    <w:rsid w:val="005B5D6C"/>
    <w:rsid w:val="005C075F"/>
    <w:rsid w:val="005C164F"/>
    <w:rsid w:val="005C1748"/>
    <w:rsid w:val="005C3852"/>
    <w:rsid w:val="005C3DA9"/>
    <w:rsid w:val="005C3F2F"/>
    <w:rsid w:val="005C6576"/>
    <w:rsid w:val="005D0FF0"/>
    <w:rsid w:val="005D15A7"/>
    <w:rsid w:val="005D4F0C"/>
    <w:rsid w:val="005E0180"/>
    <w:rsid w:val="005E18F4"/>
    <w:rsid w:val="005E206A"/>
    <w:rsid w:val="005E387C"/>
    <w:rsid w:val="005E449F"/>
    <w:rsid w:val="005E71A0"/>
    <w:rsid w:val="005F251B"/>
    <w:rsid w:val="005F2960"/>
    <w:rsid w:val="005F30E7"/>
    <w:rsid w:val="005F3E5F"/>
    <w:rsid w:val="005F5F96"/>
    <w:rsid w:val="005F69C5"/>
    <w:rsid w:val="005F6DFE"/>
    <w:rsid w:val="006005F6"/>
    <w:rsid w:val="0060137C"/>
    <w:rsid w:val="00601534"/>
    <w:rsid w:val="00604ABB"/>
    <w:rsid w:val="006054BC"/>
    <w:rsid w:val="00607F0B"/>
    <w:rsid w:val="00615868"/>
    <w:rsid w:val="0062100E"/>
    <w:rsid w:val="00621D32"/>
    <w:rsid w:val="00622E6D"/>
    <w:rsid w:val="00625DE9"/>
    <w:rsid w:val="006273E2"/>
    <w:rsid w:val="00627C84"/>
    <w:rsid w:val="00632AD3"/>
    <w:rsid w:val="00634488"/>
    <w:rsid w:val="006357F9"/>
    <w:rsid w:val="00635AFA"/>
    <w:rsid w:val="00636D1E"/>
    <w:rsid w:val="00647BAD"/>
    <w:rsid w:val="006528F3"/>
    <w:rsid w:val="00653E90"/>
    <w:rsid w:val="00654671"/>
    <w:rsid w:val="0065738E"/>
    <w:rsid w:val="00661B37"/>
    <w:rsid w:val="00664587"/>
    <w:rsid w:val="00670695"/>
    <w:rsid w:val="00675194"/>
    <w:rsid w:val="006809A0"/>
    <w:rsid w:val="00686E4B"/>
    <w:rsid w:val="0069310C"/>
    <w:rsid w:val="00693455"/>
    <w:rsid w:val="00693BF6"/>
    <w:rsid w:val="00694AA8"/>
    <w:rsid w:val="00694FAD"/>
    <w:rsid w:val="0069610D"/>
    <w:rsid w:val="006A37CF"/>
    <w:rsid w:val="006A5190"/>
    <w:rsid w:val="006A607E"/>
    <w:rsid w:val="006B0117"/>
    <w:rsid w:val="006B1ABB"/>
    <w:rsid w:val="006B32C8"/>
    <w:rsid w:val="006B3692"/>
    <w:rsid w:val="006C0663"/>
    <w:rsid w:val="006C0E74"/>
    <w:rsid w:val="006C0ED1"/>
    <w:rsid w:val="006C4DE6"/>
    <w:rsid w:val="006C5A4A"/>
    <w:rsid w:val="006D022B"/>
    <w:rsid w:val="006D37D0"/>
    <w:rsid w:val="006D47F6"/>
    <w:rsid w:val="006D77B9"/>
    <w:rsid w:val="006E0977"/>
    <w:rsid w:val="006E108C"/>
    <w:rsid w:val="006E1278"/>
    <w:rsid w:val="006E321D"/>
    <w:rsid w:val="006E3586"/>
    <w:rsid w:val="006E4D51"/>
    <w:rsid w:val="006E5420"/>
    <w:rsid w:val="006E6EEB"/>
    <w:rsid w:val="006F10FB"/>
    <w:rsid w:val="006F2AAB"/>
    <w:rsid w:val="006F2CC7"/>
    <w:rsid w:val="006F61FD"/>
    <w:rsid w:val="006F6244"/>
    <w:rsid w:val="006F6F3B"/>
    <w:rsid w:val="00701AF2"/>
    <w:rsid w:val="00703CC9"/>
    <w:rsid w:val="0070453E"/>
    <w:rsid w:val="00705879"/>
    <w:rsid w:val="007058D9"/>
    <w:rsid w:val="007058DA"/>
    <w:rsid w:val="0071009F"/>
    <w:rsid w:val="00710C91"/>
    <w:rsid w:val="007113D4"/>
    <w:rsid w:val="0071176A"/>
    <w:rsid w:val="00713659"/>
    <w:rsid w:val="007145EE"/>
    <w:rsid w:val="00720634"/>
    <w:rsid w:val="00721D95"/>
    <w:rsid w:val="00733EA7"/>
    <w:rsid w:val="007344CF"/>
    <w:rsid w:val="00737909"/>
    <w:rsid w:val="0074499A"/>
    <w:rsid w:val="00746B27"/>
    <w:rsid w:val="007509DE"/>
    <w:rsid w:val="007530CB"/>
    <w:rsid w:val="00753DCC"/>
    <w:rsid w:val="00754B3E"/>
    <w:rsid w:val="007561E0"/>
    <w:rsid w:val="00757361"/>
    <w:rsid w:val="007615A9"/>
    <w:rsid w:val="00763E86"/>
    <w:rsid w:val="0076606C"/>
    <w:rsid w:val="00770FAD"/>
    <w:rsid w:val="007729BA"/>
    <w:rsid w:val="00773FDB"/>
    <w:rsid w:val="0077556E"/>
    <w:rsid w:val="00775593"/>
    <w:rsid w:val="007809A4"/>
    <w:rsid w:val="0078663F"/>
    <w:rsid w:val="00786B0B"/>
    <w:rsid w:val="00787AE3"/>
    <w:rsid w:val="00792186"/>
    <w:rsid w:val="0079508A"/>
    <w:rsid w:val="0079526E"/>
    <w:rsid w:val="00795965"/>
    <w:rsid w:val="0079674F"/>
    <w:rsid w:val="007A2365"/>
    <w:rsid w:val="007A4D15"/>
    <w:rsid w:val="007B2A07"/>
    <w:rsid w:val="007B4E06"/>
    <w:rsid w:val="007B7557"/>
    <w:rsid w:val="007C0858"/>
    <w:rsid w:val="007C34DE"/>
    <w:rsid w:val="007C57FE"/>
    <w:rsid w:val="007C60D5"/>
    <w:rsid w:val="007C73DB"/>
    <w:rsid w:val="007C74C0"/>
    <w:rsid w:val="007C7741"/>
    <w:rsid w:val="007D0420"/>
    <w:rsid w:val="007D1990"/>
    <w:rsid w:val="007D2E7B"/>
    <w:rsid w:val="007E21ED"/>
    <w:rsid w:val="007E435A"/>
    <w:rsid w:val="007E5786"/>
    <w:rsid w:val="007E5D5C"/>
    <w:rsid w:val="007E70FD"/>
    <w:rsid w:val="007F0F19"/>
    <w:rsid w:val="007F15A6"/>
    <w:rsid w:val="007F3E0B"/>
    <w:rsid w:val="007F4618"/>
    <w:rsid w:val="007F5590"/>
    <w:rsid w:val="007F5F54"/>
    <w:rsid w:val="007F7D53"/>
    <w:rsid w:val="00800C81"/>
    <w:rsid w:val="00801530"/>
    <w:rsid w:val="00802D2B"/>
    <w:rsid w:val="00807239"/>
    <w:rsid w:val="00807833"/>
    <w:rsid w:val="00807993"/>
    <w:rsid w:val="00807BF2"/>
    <w:rsid w:val="00811ED2"/>
    <w:rsid w:val="00812CFA"/>
    <w:rsid w:val="00817C02"/>
    <w:rsid w:val="00824DD0"/>
    <w:rsid w:val="00825535"/>
    <w:rsid w:val="00825859"/>
    <w:rsid w:val="008305F2"/>
    <w:rsid w:val="0083144B"/>
    <w:rsid w:val="00831FBE"/>
    <w:rsid w:val="00832F86"/>
    <w:rsid w:val="00833005"/>
    <w:rsid w:val="008343D5"/>
    <w:rsid w:val="00834BB4"/>
    <w:rsid w:val="008367AB"/>
    <w:rsid w:val="00844D15"/>
    <w:rsid w:val="00844DF1"/>
    <w:rsid w:val="00844E27"/>
    <w:rsid w:val="00850C5E"/>
    <w:rsid w:val="008514D1"/>
    <w:rsid w:val="00852F6C"/>
    <w:rsid w:val="008535E8"/>
    <w:rsid w:val="0085453B"/>
    <w:rsid w:val="00854E0B"/>
    <w:rsid w:val="008576B4"/>
    <w:rsid w:val="0086229B"/>
    <w:rsid w:val="00862A9C"/>
    <w:rsid w:val="008631E0"/>
    <w:rsid w:val="00864A2B"/>
    <w:rsid w:val="00865218"/>
    <w:rsid w:val="0087082E"/>
    <w:rsid w:val="00871BB4"/>
    <w:rsid w:val="00873E80"/>
    <w:rsid w:val="0087535D"/>
    <w:rsid w:val="008764FC"/>
    <w:rsid w:val="00877ED5"/>
    <w:rsid w:val="0088177B"/>
    <w:rsid w:val="00882FF6"/>
    <w:rsid w:val="008907BE"/>
    <w:rsid w:val="00891EF8"/>
    <w:rsid w:val="0089211D"/>
    <w:rsid w:val="00892362"/>
    <w:rsid w:val="00892EE4"/>
    <w:rsid w:val="00893E38"/>
    <w:rsid w:val="00897399"/>
    <w:rsid w:val="00897645"/>
    <w:rsid w:val="008A005A"/>
    <w:rsid w:val="008A0A14"/>
    <w:rsid w:val="008A2208"/>
    <w:rsid w:val="008A33C9"/>
    <w:rsid w:val="008B149C"/>
    <w:rsid w:val="008B1A99"/>
    <w:rsid w:val="008B3559"/>
    <w:rsid w:val="008B3DF5"/>
    <w:rsid w:val="008B72B3"/>
    <w:rsid w:val="008C1F3C"/>
    <w:rsid w:val="008C2124"/>
    <w:rsid w:val="008C22EE"/>
    <w:rsid w:val="008D0AB4"/>
    <w:rsid w:val="008D3FB3"/>
    <w:rsid w:val="008D7605"/>
    <w:rsid w:val="008E2365"/>
    <w:rsid w:val="008E2D3D"/>
    <w:rsid w:val="008E3251"/>
    <w:rsid w:val="008E3B91"/>
    <w:rsid w:val="008E3CB6"/>
    <w:rsid w:val="008E4E57"/>
    <w:rsid w:val="008E60D6"/>
    <w:rsid w:val="008E6349"/>
    <w:rsid w:val="008F403C"/>
    <w:rsid w:val="008F4840"/>
    <w:rsid w:val="008F5B7E"/>
    <w:rsid w:val="008F6946"/>
    <w:rsid w:val="00906CDC"/>
    <w:rsid w:val="00910B0F"/>
    <w:rsid w:val="00913806"/>
    <w:rsid w:val="00913CAD"/>
    <w:rsid w:val="0091474F"/>
    <w:rsid w:val="00915A77"/>
    <w:rsid w:val="0092162E"/>
    <w:rsid w:val="00922F17"/>
    <w:rsid w:val="0092318E"/>
    <w:rsid w:val="009238B8"/>
    <w:rsid w:val="00923E9C"/>
    <w:rsid w:val="0092722C"/>
    <w:rsid w:val="009318E9"/>
    <w:rsid w:val="00932F5C"/>
    <w:rsid w:val="00937821"/>
    <w:rsid w:val="00940ADC"/>
    <w:rsid w:val="00941FB0"/>
    <w:rsid w:val="0094300B"/>
    <w:rsid w:val="00943150"/>
    <w:rsid w:val="00947EFA"/>
    <w:rsid w:val="009513EE"/>
    <w:rsid w:val="00951540"/>
    <w:rsid w:val="00961756"/>
    <w:rsid w:val="00961D68"/>
    <w:rsid w:val="0096401A"/>
    <w:rsid w:val="00966BDD"/>
    <w:rsid w:val="00971005"/>
    <w:rsid w:val="00974167"/>
    <w:rsid w:val="00975A24"/>
    <w:rsid w:val="009779DA"/>
    <w:rsid w:val="00980753"/>
    <w:rsid w:val="00980F08"/>
    <w:rsid w:val="00981B80"/>
    <w:rsid w:val="009835B8"/>
    <w:rsid w:val="009835D9"/>
    <w:rsid w:val="00985569"/>
    <w:rsid w:val="0098750E"/>
    <w:rsid w:val="00987C8F"/>
    <w:rsid w:val="00991023"/>
    <w:rsid w:val="009969F7"/>
    <w:rsid w:val="00996B6B"/>
    <w:rsid w:val="009A37B5"/>
    <w:rsid w:val="009A4298"/>
    <w:rsid w:val="009A58BC"/>
    <w:rsid w:val="009A5DFB"/>
    <w:rsid w:val="009A6EBC"/>
    <w:rsid w:val="009A7F37"/>
    <w:rsid w:val="009B3DA7"/>
    <w:rsid w:val="009B44FC"/>
    <w:rsid w:val="009B5386"/>
    <w:rsid w:val="009C1087"/>
    <w:rsid w:val="009C1E26"/>
    <w:rsid w:val="009C40B8"/>
    <w:rsid w:val="009D4828"/>
    <w:rsid w:val="009D554A"/>
    <w:rsid w:val="009D5DA4"/>
    <w:rsid w:val="009E04C6"/>
    <w:rsid w:val="009E07DF"/>
    <w:rsid w:val="009E0B49"/>
    <w:rsid w:val="009E0B72"/>
    <w:rsid w:val="009E2B78"/>
    <w:rsid w:val="009E2F90"/>
    <w:rsid w:val="009E33BC"/>
    <w:rsid w:val="009E383C"/>
    <w:rsid w:val="009E3D49"/>
    <w:rsid w:val="009E5A41"/>
    <w:rsid w:val="009E6E70"/>
    <w:rsid w:val="009F0D63"/>
    <w:rsid w:val="009F7637"/>
    <w:rsid w:val="009F7824"/>
    <w:rsid w:val="009F7B94"/>
    <w:rsid w:val="00A01772"/>
    <w:rsid w:val="00A02718"/>
    <w:rsid w:val="00A039FD"/>
    <w:rsid w:val="00A04B2A"/>
    <w:rsid w:val="00A053E9"/>
    <w:rsid w:val="00A05664"/>
    <w:rsid w:val="00A065DF"/>
    <w:rsid w:val="00A06F04"/>
    <w:rsid w:val="00A07000"/>
    <w:rsid w:val="00A077D2"/>
    <w:rsid w:val="00A10672"/>
    <w:rsid w:val="00A1198F"/>
    <w:rsid w:val="00A119F6"/>
    <w:rsid w:val="00A13EB6"/>
    <w:rsid w:val="00A16708"/>
    <w:rsid w:val="00A17ABD"/>
    <w:rsid w:val="00A203B3"/>
    <w:rsid w:val="00A2082D"/>
    <w:rsid w:val="00A23549"/>
    <w:rsid w:val="00A278C9"/>
    <w:rsid w:val="00A364F7"/>
    <w:rsid w:val="00A37800"/>
    <w:rsid w:val="00A37C28"/>
    <w:rsid w:val="00A37E4D"/>
    <w:rsid w:val="00A4168E"/>
    <w:rsid w:val="00A45400"/>
    <w:rsid w:val="00A458F4"/>
    <w:rsid w:val="00A45DFC"/>
    <w:rsid w:val="00A47D46"/>
    <w:rsid w:val="00A50193"/>
    <w:rsid w:val="00A530DA"/>
    <w:rsid w:val="00A56085"/>
    <w:rsid w:val="00A61ECA"/>
    <w:rsid w:val="00A62AD7"/>
    <w:rsid w:val="00A63D0D"/>
    <w:rsid w:val="00A657C5"/>
    <w:rsid w:val="00A66238"/>
    <w:rsid w:val="00A7317F"/>
    <w:rsid w:val="00A74D30"/>
    <w:rsid w:val="00A7642C"/>
    <w:rsid w:val="00A90CCE"/>
    <w:rsid w:val="00A95C6C"/>
    <w:rsid w:val="00AA0694"/>
    <w:rsid w:val="00AA17E8"/>
    <w:rsid w:val="00AA4C69"/>
    <w:rsid w:val="00AA65A4"/>
    <w:rsid w:val="00AA7CA2"/>
    <w:rsid w:val="00AB4E31"/>
    <w:rsid w:val="00AB7C11"/>
    <w:rsid w:val="00AC10E3"/>
    <w:rsid w:val="00AC1872"/>
    <w:rsid w:val="00AC353D"/>
    <w:rsid w:val="00AC4B85"/>
    <w:rsid w:val="00AC55BB"/>
    <w:rsid w:val="00AC61F8"/>
    <w:rsid w:val="00AC67A7"/>
    <w:rsid w:val="00AD04DB"/>
    <w:rsid w:val="00AD3524"/>
    <w:rsid w:val="00AD3B5F"/>
    <w:rsid w:val="00AD5423"/>
    <w:rsid w:val="00AD5D27"/>
    <w:rsid w:val="00AD73F4"/>
    <w:rsid w:val="00AE0607"/>
    <w:rsid w:val="00AF0DE7"/>
    <w:rsid w:val="00AF1D21"/>
    <w:rsid w:val="00AF2104"/>
    <w:rsid w:val="00AF367A"/>
    <w:rsid w:val="00AF3694"/>
    <w:rsid w:val="00AF375F"/>
    <w:rsid w:val="00AF40C8"/>
    <w:rsid w:val="00AF5719"/>
    <w:rsid w:val="00AF5C53"/>
    <w:rsid w:val="00AF5F96"/>
    <w:rsid w:val="00AF67BF"/>
    <w:rsid w:val="00B024BC"/>
    <w:rsid w:val="00B05523"/>
    <w:rsid w:val="00B059AC"/>
    <w:rsid w:val="00B071D8"/>
    <w:rsid w:val="00B1249F"/>
    <w:rsid w:val="00B130D0"/>
    <w:rsid w:val="00B15E0F"/>
    <w:rsid w:val="00B2026C"/>
    <w:rsid w:val="00B206BC"/>
    <w:rsid w:val="00B23125"/>
    <w:rsid w:val="00B24428"/>
    <w:rsid w:val="00B248EF"/>
    <w:rsid w:val="00B270C3"/>
    <w:rsid w:val="00B27789"/>
    <w:rsid w:val="00B31AC7"/>
    <w:rsid w:val="00B327B0"/>
    <w:rsid w:val="00B41850"/>
    <w:rsid w:val="00B41A3D"/>
    <w:rsid w:val="00B42C06"/>
    <w:rsid w:val="00B446D4"/>
    <w:rsid w:val="00B50774"/>
    <w:rsid w:val="00B513D4"/>
    <w:rsid w:val="00B5170F"/>
    <w:rsid w:val="00B578B5"/>
    <w:rsid w:val="00B60869"/>
    <w:rsid w:val="00B60D00"/>
    <w:rsid w:val="00B618F8"/>
    <w:rsid w:val="00B619EB"/>
    <w:rsid w:val="00B65DAB"/>
    <w:rsid w:val="00B65F94"/>
    <w:rsid w:val="00B65FE8"/>
    <w:rsid w:val="00B72D06"/>
    <w:rsid w:val="00B775FA"/>
    <w:rsid w:val="00B822FA"/>
    <w:rsid w:val="00B866FD"/>
    <w:rsid w:val="00B9403C"/>
    <w:rsid w:val="00B94FB5"/>
    <w:rsid w:val="00B9543C"/>
    <w:rsid w:val="00B95D7D"/>
    <w:rsid w:val="00B96AFB"/>
    <w:rsid w:val="00B96FB5"/>
    <w:rsid w:val="00B97735"/>
    <w:rsid w:val="00BA36E9"/>
    <w:rsid w:val="00BA49C9"/>
    <w:rsid w:val="00BA61AF"/>
    <w:rsid w:val="00BA6CB7"/>
    <w:rsid w:val="00BA7D47"/>
    <w:rsid w:val="00BB4057"/>
    <w:rsid w:val="00BB52D1"/>
    <w:rsid w:val="00BB6020"/>
    <w:rsid w:val="00BB6FF5"/>
    <w:rsid w:val="00BB73F2"/>
    <w:rsid w:val="00BB7B98"/>
    <w:rsid w:val="00BC5F02"/>
    <w:rsid w:val="00BC6CEF"/>
    <w:rsid w:val="00BC7EA3"/>
    <w:rsid w:val="00BD2303"/>
    <w:rsid w:val="00BD258F"/>
    <w:rsid w:val="00BD33D3"/>
    <w:rsid w:val="00BD78DB"/>
    <w:rsid w:val="00BE0560"/>
    <w:rsid w:val="00BE31F3"/>
    <w:rsid w:val="00BE349D"/>
    <w:rsid w:val="00BE7486"/>
    <w:rsid w:val="00BE7FF0"/>
    <w:rsid w:val="00BF127C"/>
    <w:rsid w:val="00BF344C"/>
    <w:rsid w:val="00BF610B"/>
    <w:rsid w:val="00BF70D2"/>
    <w:rsid w:val="00BF740B"/>
    <w:rsid w:val="00C01FA4"/>
    <w:rsid w:val="00C02E41"/>
    <w:rsid w:val="00C04D03"/>
    <w:rsid w:val="00C053B0"/>
    <w:rsid w:val="00C07417"/>
    <w:rsid w:val="00C14A4D"/>
    <w:rsid w:val="00C15577"/>
    <w:rsid w:val="00C2033C"/>
    <w:rsid w:val="00C21FEF"/>
    <w:rsid w:val="00C22FA5"/>
    <w:rsid w:val="00C3221C"/>
    <w:rsid w:val="00C32E35"/>
    <w:rsid w:val="00C36388"/>
    <w:rsid w:val="00C40D7F"/>
    <w:rsid w:val="00C41221"/>
    <w:rsid w:val="00C412A9"/>
    <w:rsid w:val="00C43772"/>
    <w:rsid w:val="00C43DE6"/>
    <w:rsid w:val="00C4506D"/>
    <w:rsid w:val="00C46F16"/>
    <w:rsid w:val="00C52416"/>
    <w:rsid w:val="00C529D7"/>
    <w:rsid w:val="00C54029"/>
    <w:rsid w:val="00C55404"/>
    <w:rsid w:val="00C5650E"/>
    <w:rsid w:val="00C57873"/>
    <w:rsid w:val="00C646FD"/>
    <w:rsid w:val="00C7021B"/>
    <w:rsid w:val="00C706DC"/>
    <w:rsid w:val="00C71BA7"/>
    <w:rsid w:val="00C71E39"/>
    <w:rsid w:val="00C7226A"/>
    <w:rsid w:val="00C77184"/>
    <w:rsid w:val="00C807BD"/>
    <w:rsid w:val="00C8156D"/>
    <w:rsid w:val="00C85B3B"/>
    <w:rsid w:val="00C95C87"/>
    <w:rsid w:val="00C95EA9"/>
    <w:rsid w:val="00C96FAC"/>
    <w:rsid w:val="00CA67B5"/>
    <w:rsid w:val="00CA6C36"/>
    <w:rsid w:val="00CB4032"/>
    <w:rsid w:val="00CB6C4E"/>
    <w:rsid w:val="00CB7797"/>
    <w:rsid w:val="00CD43CD"/>
    <w:rsid w:val="00CD5071"/>
    <w:rsid w:val="00CD6224"/>
    <w:rsid w:val="00CD772C"/>
    <w:rsid w:val="00CE14E3"/>
    <w:rsid w:val="00CE5B4D"/>
    <w:rsid w:val="00CE5BA1"/>
    <w:rsid w:val="00CE5FDD"/>
    <w:rsid w:val="00CE7E9A"/>
    <w:rsid w:val="00CF3E05"/>
    <w:rsid w:val="00CF4072"/>
    <w:rsid w:val="00D0045B"/>
    <w:rsid w:val="00D059BB"/>
    <w:rsid w:val="00D0665D"/>
    <w:rsid w:val="00D06EBB"/>
    <w:rsid w:val="00D0757D"/>
    <w:rsid w:val="00D07893"/>
    <w:rsid w:val="00D120B9"/>
    <w:rsid w:val="00D120E5"/>
    <w:rsid w:val="00D156A7"/>
    <w:rsid w:val="00D23CC4"/>
    <w:rsid w:val="00D244BB"/>
    <w:rsid w:val="00D26B85"/>
    <w:rsid w:val="00D305CB"/>
    <w:rsid w:val="00D31BDA"/>
    <w:rsid w:val="00D31F0C"/>
    <w:rsid w:val="00D32B81"/>
    <w:rsid w:val="00D32E61"/>
    <w:rsid w:val="00D36182"/>
    <w:rsid w:val="00D37A75"/>
    <w:rsid w:val="00D400D5"/>
    <w:rsid w:val="00D42528"/>
    <w:rsid w:val="00D42584"/>
    <w:rsid w:val="00D44430"/>
    <w:rsid w:val="00D446D1"/>
    <w:rsid w:val="00D45410"/>
    <w:rsid w:val="00D463B3"/>
    <w:rsid w:val="00D47318"/>
    <w:rsid w:val="00D51093"/>
    <w:rsid w:val="00D53445"/>
    <w:rsid w:val="00D53C57"/>
    <w:rsid w:val="00D548AE"/>
    <w:rsid w:val="00D5561B"/>
    <w:rsid w:val="00D6087D"/>
    <w:rsid w:val="00D60D3B"/>
    <w:rsid w:val="00D6417C"/>
    <w:rsid w:val="00D647A7"/>
    <w:rsid w:val="00D66369"/>
    <w:rsid w:val="00D66D0A"/>
    <w:rsid w:val="00D670CC"/>
    <w:rsid w:val="00D714EC"/>
    <w:rsid w:val="00D768A9"/>
    <w:rsid w:val="00D76FE2"/>
    <w:rsid w:val="00D80C57"/>
    <w:rsid w:val="00D81659"/>
    <w:rsid w:val="00D81763"/>
    <w:rsid w:val="00D82C29"/>
    <w:rsid w:val="00D83275"/>
    <w:rsid w:val="00D84993"/>
    <w:rsid w:val="00D855C8"/>
    <w:rsid w:val="00D86623"/>
    <w:rsid w:val="00D903CD"/>
    <w:rsid w:val="00D920B2"/>
    <w:rsid w:val="00D92298"/>
    <w:rsid w:val="00D945BB"/>
    <w:rsid w:val="00DA0513"/>
    <w:rsid w:val="00DA4B48"/>
    <w:rsid w:val="00DA4C30"/>
    <w:rsid w:val="00DA642E"/>
    <w:rsid w:val="00DA68FA"/>
    <w:rsid w:val="00DB2D75"/>
    <w:rsid w:val="00DB382D"/>
    <w:rsid w:val="00DB3EEA"/>
    <w:rsid w:val="00DB73F3"/>
    <w:rsid w:val="00DB7E62"/>
    <w:rsid w:val="00DC0C39"/>
    <w:rsid w:val="00DC2665"/>
    <w:rsid w:val="00DD0C57"/>
    <w:rsid w:val="00DD0C66"/>
    <w:rsid w:val="00DD2809"/>
    <w:rsid w:val="00DD41E0"/>
    <w:rsid w:val="00DD7F5C"/>
    <w:rsid w:val="00DE0F55"/>
    <w:rsid w:val="00DE144B"/>
    <w:rsid w:val="00DE6CCF"/>
    <w:rsid w:val="00DE754B"/>
    <w:rsid w:val="00DF22AE"/>
    <w:rsid w:val="00DF25AC"/>
    <w:rsid w:val="00DF37C5"/>
    <w:rsid w:val="00DF5D7C"/>
    <w:rsid w:val="00DF7527"/>
    <w:rsid w:val="00E04B78"/>
    <w:rsid w:val="00E06011"/>
    <w:rsid w:val="00E10FB4"/>
    <w:rsid w:val="00E13F1C"/>
    <w:rsid w:val="00E1691D"/>
    <w:rsid w:val="00E212C4"/>
    <w:rsid w:val="00E2266E"/>
    <w:rsid w:val="00E2517F"/>
    <w:rsid w:val="00E31D03"/>
    <w:rsid w:val="00E328DC"/>
    <w:rsid w:val="00E32E05"/>
    <w:rsid w:val="00E33404"/>
    <w:rsid w:val="00E37976"/>
    <w:rsid w:val="00E37F63"/>
    <w:rsid w:val="00E570F9"/>
    <w:rsid w:val="00E627E4"/>
    <w:rsid w:val="00E62A73"/>
    <w:rsid w:val="00E63B65"/>
    <w:rsid w:val="00E66CBA"/>
    <w:rsid w:val="00E729C3"/>
    <w:rsid w:val="00E73361"/>
    <w:rsid w:val="00E74F34"/>
    <w:rsid w:val="00E74F87"/>
    <w:rsid w:val="00E75CE4"/>
    <w:rsid w:val="00E763D5"/>
    <w:rsid w:val="00E81CD4"/>
    <w:rsid w:val="00E8388E"/>
    <w:rsid w:val="00E838B6"/>
    <w:rsid w:val="00E83DEF"/>
    <w:rsid w:val="00E85512"/>
    <w:rsid w:val="00E85887"/>
    <w:rsid w:val="00E85DFA"/>
    <w:rsid w:val="00E870C8"/>
    <w:rsid w:val="00E8766C"/>
    <w:rsid w:val="00E903C9"/>
    <w:rsid w:val="00E93947"/>
    <w:rsid w:val="00E94778"/>
    <w:rsid w:val="00E95342"/>
    <w:rsid w:val="00E9770D"/>
    <w:rsid w:val="00EA01B5"/>
    <w:rsid w:val="00EA20F1"/>
    <w:rsid w:val="00EA2D55"/>
    <w:rsid w:val="00EA46BB"/>
    <w:rsid w:val="00EA5C82"/>
    <w:rsid w:val="00EA672F"/>
    <w:rsid w:val="00EA779C"/>
    <w:rsid w:val="00EB0544"/>
    <w:rsid w:val="00EB0B81"/>
    <w:rsid w:val="00EB171B"/>
    <w:rsid w:val="00EB35EE"/>
    <w:rsid w:val="00EB5E96"/>
    <w:rsid w:val="00EB60D5"/>
    <w:rsid w:val="00EB78E4"/>
    <w:rsid w:val="00EC6062"/>
    <w:rsid w:val="00ED32D4"/>
    <w:rsid w:val="00ED3AFF"/>
    <w:rsid w:val="00EE053B"/>
    <w:rsid w:val="00EE0863"/>
    <w:rsid w:val="00EE087F"/>
    <w:rsid w:val="00EE272E"/>
    <w:rsid w:val="00EE450C"/>
    <w:rsid w:val="00EE6340"/>
    <w:rsid w:val="00EF14EF"/>
    <w:rsid w:val="00EF17AA"/>
    <w:rsid w:val="00EF2139"/>
    <w:rsid w:val="00EF3844"/>
    <w:rsid w:val="00EF491F"/>
    <w:rsid w:val="00EF5DD7"/>
    <w:rsid w:val="00EF70F2"/>
    <w:rsid w:val="00F00EE7"/>
    <w:rsid w:val="00F010B4"/>
    <w:rsid w:val="00F01332"/>
    <w:rsid w:val="00F02940"/>
    <w:rsid w:val="00F049A2"/>
    <w:rsid w:val="00F103BB"/>
    <w:rsid w:val="00F10667"/>
    <w:rsid w:val="00F13685"/>
    <w:rsid w:val="00F1713D"/>
    <w:rsid w:val="00F22259"/>
    <w:rsid w:val="00F22EE8"/>
    <w:rsid w:val="00F24900"/>
    <w:rsid w:val="00F24B60"/>
    <w:rsid w:val="00F256BA"/>
    <w:rsid w:val="00F25FE1"/>
    <w:rsid w:val="00F3203B"/>
    <w:rsid w:val="00F3493F"/>
    <w:rsid w:val="00F3566E"/>
    <w:rsid w:val="00F36B58"/>
    <w:rsid w:val="00F403DA"/>
    <w:rsid w:val="00F41522"/>
    <w:rsid w:val="00F442BD"/>
    <w:rsid w:val="00F44D74"/>
    <w:rsid w:val="00F455E7"/>
    <w:rsid w:val="00F47C57"/>
    <w:rsid w:val="00F47CF8"/>
    <w:rsid w:val="00F51B0B"/>
    <w:rsid w:val="00F53522"/>
    <w:rsid w:val="00F536B5"/>
    <w:rsid w:val="00F53D60"/>
    <w:rsid w:val="00F5421B"/>
    <w:rsid w:val="00F6012F"/>
    <w:rsid w:val="00F603DE"/>
    <w:rsid w:val="00F607D2"/>
    <w:rsid w:val="00F612EB"/>
    <w:rsid w:val="00F6176D"/>
    <w:rsid w:val="00F62379"/>
    <w:rsid w:val="00F6336E"/>
    <w:rsid w:val="00F6446E"/>
    <w:rsid w:val="00F65288"/>
    <w:rsid w:val="00F70C37"/>
    <w:rsid w:val="00F738A7"/>
    <w:rsid w:val="00F74099"/>
    <w:rsid w:val="00F77099"/>
    <w:rsid w:val="00F801D6"/>
    <w:rsid w:val="00F854BF"/>
    <w:rsid w:val="00F92651"/>
    <w:rsid w:val="00F93052"/>
    <w:rsid w:val="00F9311A"/>
    <w:rsid w:val="00F93F29"/>
    <w:rsid w:val="00F94C26"/>
    <w:rsid w:val="00F955CE"/>
    <w:rsid w:val="00F97D0B"/>
    <w:rsid w:val="00FA011F"/>
    <w:rsid w:val="00FA0562"/>
    <w:rsid w:val="00FA0C51"/>
    <w:rsid w:val="00FA176F"/>
    <w:rsid w:val="00FA2BE3"/>
    <w:rsid w:val="00FA4B4B"/>
    <w:rsid w:val="00FA7A85"/>
    <w:rsid w:val="00FB46A1"/>
    <w:rsid w:val="00FB4D22"/>
    <w:rsid w:val="00FC0D75"/>
    <w:rsid w:val="00FC1510"/>
    <w:rsid w:val="00FC2DF1"/>
    <w:rsid w:val="00FC2E1C"/>
    <w:rsid w:val="00FC3181"/>
    <w:rsid w:val="00FC563F"/>
    <w:rsid w:val="00FC7155"/>
    <w:rsid w:val="00FC7FFA"/>
    <w:rsid w:val="00FD0FC3"/>
    <w:rsid w:val="00FD14FC"/>
    <w:rsid w:val="00FD50D7"/>
    <w:rsid w:val="00FD54EA"/>
    <w:rsid w:val="00FD5802"/>
    <w:rsid w:val="00FE2F18"/>
    <w:rsid w:val="00FE356C"/>
    <w:rsid w:val="00FE5167"/>
    <w:rsid w:val="00FE7890"/>
    <w:rsid w:val="00FF0C3C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4A04B"/>
  <w15:docId w15:val="{F2F64F8B-5097-424A-8C6A-9E84C15B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6C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8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8663F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E35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E356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E356C"/>
  </w:style>
  <w:style w:type="character" w:styleId="Lienhypertexte">
    <w:name w:val="Hyperlink"/>
    <w:rsid w:val="00111212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43374D"/>
    <w:rPr>
      <w:rFonts w:eastAsia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43374D"/>
    <w:rPr>
      <w:rFonts w:eastAsia="Times New Roman"/>
      <w:sz w:val="22"/>
      <w:szCs w:val="22"/>
    </w:rPr>
  </w:style>
  <w:style w:type="character" w:styleId="lev">
    <w:name w:val="Strong"/>
    <w:uiPriority w:val="22"/>
    <w:qFormat/>
    <w:rsid w:val="00304ADC"/>
    <w:rPr>
      <w:b/>
      <w:bCs/>
    </w:rPr>
  </w:style>
  <w:style w:type="table" w:styleId="Grilledutableau">
    <w:name w:val="Table Grid"/>
    <w:basedOn w:val="TableauNormal"/>
    <w:uiPriority w:val="59"/>
    <w:rsid w:val="00073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A236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22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rix">
    <w:name w:val="prix"/>
    <w:basedOn w:val="Policepardfaut"/>
    <w:rsid w:val="002D3B54"/>
  </w:style>
  <w:style w:type="paragraph" w:customStyle="1" w:styleId="appentrylead">
    <w:name w:val="app_entry_lead"/>
    <w:basedOn w:val="Normal"/>
    <w:rsid w:val="00082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E387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387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387C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387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657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4157">
          <w:blockQuote w:val="1"/>
          <w:marLeft w:val="0"/>
          <w:marRight w:val="0"/>
          <w:marTop w:val="300"/>
          <w:marBottom w:val="450"/>
          <w:divBdr>
            <w:top w:val="none" w:sz="0" w:space="0" w:color="89D659"/>
            <w:left w:val="single" w:sz="36" w:space="15" w:color="89D659"/>
            <w:bottom w:val="none" w:sz="0" w:space="0" w:color="89D659"/>
            <w:right w:val="none" w:sz="0" w:space="0" w:color="89D659"/>
          </w:divBdr>
        </w:div>
      </w:divsChild>
    </w:div>
    <w:div w:id="135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0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ashed" w:sz="6" w:space="4" w:color="B5B5B5"/>
            <w:right w:val="none" w:sz="0" w:space="0" w:color="auto"/>
          </w:divBdr>
        </w:div>
      </w:divsChild>
    </w:div>
    <w:div w:id="193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rvcga13\cga\MS\FCGA%202008\Barom&#232;tre\Barom&#232;tre%201T2022\Analyse%201T2022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oga-tse01\CGA\MS\FCGA%202008\Barom&#232;tre\Barom&#232;tre%202T2022\Analyse%202T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Moral des TPE</a:t>
            </a:r>
          </a:p>
        </c:rich>
      </c:tx>
      <c:layout>
        <c:manualLayout>
          <c:xMode val="edge"/>
          <c:yMode val="edge"/>
          <c:x val="0.41554090484452155"/>
          <c:y val="3.303313648293963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2.8020308936792738E-2"/>
          <c:y val="0.17117158792650916"/>
          <c:w val="0.70439247287438711"/>
          <c:h val="0.723725846136701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OPTI!$I$2</c:f>
              <c:strCache>
                <c:ptCount val="1"/>
                <c:pt idx="0">
                  <c:v>1er trimestre 2022</c:v>
                </c:pt>
              </c:strCache>
            </c:strRef>
          </c:tx>
          <c:spPr>
            <a:solidFill>
              <a:srgbClr val="00FFFF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OPTI!$H$3:$H$6</c:f>
              <c:strCache>
                <c:ptCount val="4"/>
                <c:pt idx="0">
                  <c:v>Optimistes</c:v>
                </c:pt>
                <c:pt idx="1">
                  <c:v>Indécis</c:v>
                </c:pt>
                <c:pt idx="2">
                  <c:v>Pessimistes</c:v>
                </c:pt>
                <c:pt idx="3">
                  <c:v>NSP</c:v>
                </c:pt>
              </c:strCache>
            </c:strRef>
          </c:cat>
          <c:val>
            <c:numRef>
              <c:f>OPTI!$I$3:$I$6</c:f>
              <c:numCache>
                <c:formatCode>0.0%</c:formatCode>
                <c:ptCount val="4"/>
                <c:pt idx="0">
                  <c:v>0.109</c:v>
                </c:pt>
                <c:pt idx="1">
                  <c:v>0.54500000000000004</c:v>
                </c:pt>
                <c:pt idx="2">
                  <c:v>0.29299999999999998</c:v>
                </c:pt>
                <c:pt idx="3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86-489C-80EE-DC287D92BF4B}"/>
            </c:ext>
          </c:extLst>
        </c:ser>
        <c:ser>
          <c:idx val="1"/>
          <c:order val="1"/>
          <c:tx>
            <c:strRef>
              <c:f>OPTI!$J$2</c:f>
              <c:strCache>
                <c:ptCount val="1"/>
                <c:pt idx="0">
                  <c:v>2nd trimestre 2022</c:v>
                </c:pt>
              </c:strCache>
            </c:strRef>
          </c:tx>
          <c:spPr>
            <a:solidFill>
              <a:srgbClr val="99CC00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OPTI!$H$3:$H$6</c:f>
              <c:strCache>
                <c:ptCount val="4"/>
                <c:pt idx="0">
                  <c:v>Optimistes</c:v>
                </c:pt>
                <c:pt idx="1">
                  <c:v>Indécis</c:v>
                </c:pt>
                <c:pt idx="2">
                  <c:v>Pessimistes</c:v>
                </c:pt>
                <c:pt idx="3">
                  <c:v>NSP</c:v>
                </c:pt>
              </c:strCache>
            </c:strRef>
          </c:cat>
          <c:val>
            <c:numRef>
              <c:f>OPTI!$J$3:$J$6</c:f>
              <c:numCache>
                <c:formatCode>0.0%</c:formatCode>
                <c:ptCount val="4"/>
                <c:pt idx="0">
                  <c:v>0.1092436974789916</c:v>
                </c:pt>
                <c:pt idx="1">
                  <c:v>0.5714285714285714</c:v>
                </c:pt>
                <c:pt idx="2">
                  <c:v>0.26722689075630252</c:v>
                </c:pt>
                <c:pt idx="3">
                  <c:v>5.2100840336134456E-2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086-489C-80EE-DC287D92BF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2349408"/>
        <c:axId val="382359744"/>
      </c:barChart>
      <c:catAx>
        <c:axId val="3823494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82359744"/>
        <c:crosses val="autoZero"/>
        <c:auto val="1"/>
        <c:lblAlgn val="ctr"/>
        <c:lblOffset val="100"/>
        <c:noMultiLvlLbl val="0"/>
      </c:catAx>
      <c:valAx>
        <c:axId val="382359744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382349408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506828595578102"/>
          <c:y val="0.42342486876640423"/>
          <c:w val="0.22972979225054491"/>
          <c:h val="0.14414435695538058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2258120971453874"/>
          <c:y val="0.1619718309859155"/>
          <c:w val="0.32437332754628617"/>
          <c:h val="0.63732394366197187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438B-4371-A07D-80CCE033FC4C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438B-4371-A07D-80CCE033FC4C}"/>
              </c:ext>
            </c:extLst>
          </c:dPt>
          <c:dLbls>
            <c:dLbl>
              <c:idx val="0"/>
              <c:layout>
                <c:manualLayout>
                  <c:x val="7.6567910843585746E-2"/>
                  <c:y val="-6.46268160141954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Non
97,2%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38B-4371-A07D-80CCE033FC4C}"/>
                </c:ext>
              </c:extLst>
            </c:dLbl>
            <c:dLbl>
              <c:idx val="1"/>
              <c:layout>
                <c:manualLayout>
                  <c:x val="-5.3571717513805441E-2"/>
                  <c:y val="0.13233558833314849"/>
                </c:manualLayout>
              </c:layout>
              <c:tx>
                <c:rich>
                  <a:bodyPr/>
                  <a:lstStyle/>
                  <a:p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Oui
2,8%</a:t>
                    </a:r>
                    <a:endParaRPr lang="en-US"/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38B-4371-A07D-80CCE033FC4C}"/>
                </c:ext>
              </c:extLst>
            </c:dLbl>
            <c:dLbl>
              <c:idx val="2"/>
              <c:layout>
                <c:manualLayout>
                  <c:x val="0.17331178421598309"/>
                  <c:y val="3.8194573956210509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1" i="0" u="none" strike="noStrike" baseline="0">
                      <a:solidFill>
                        <a:sysClr val="windowText" lastClr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38B-4371-A07D-80CCE033FC4C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'INTENTION LICENCIEMENT'!$A$9:$A$10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'INTENTION LICENCIEMENT'!$C$9:$C$10</c:f>
              <c:numCache>
                <c:formatCode>0.00%</c:formatCode>
                <c:ptCount val="2"/>
                <c:pt idx="0">
                  <c:v>0.97172478793590955</c:v>
                </c:pt>
                <c:pt idx="1">
                  <c:v>2.827521206409048E-2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38B-4371-A07D-80CCE033FC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B28BFF"/>
              </a:solidFill>
            </c:spPr>
            <c:extLst>
              <c:ext xmlns:c16="http://schemas.microsoft.com/office/drawing/2014/chart" uri="{C3380CC4-5D6E-409C-BE32-E72D297353CC}">
                <c16:uniqueId val="{00000001-3C37-4702-8E06-51039A976D8B}"/>
              </c:ext>
            </c:extLst>
          </c:dPt>
          <c:dPt>
            <c:idx val="1"/>
            <c:invertIfNegative val="0"/>
            <c:bubble3D val="0"/>
            <c:spPr>
              <a:solidFill>
                <a:srgbClr val="FF7C80"/>
              </a:solidFill>
            </c:spPr>
            <c:extLst>
              <c:ext xmlns:c16="http://schemas.microsoft.com/office/drawing/2014/chart" uri="{C3380CC4-5D6E-409C-BE32-E72D297353CC}">
                <c16:uniqueId val="{00000003-3C37-4702-8E06-51039A976D8B}"/>
              </c:ext>
            </c:extLst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3C37-4702-8E06-51039A976D8B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7-3C37-4702-8E06-51039A976D8B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3C37-4702-8E06-51039A976D8B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'PREOCCUPATION '!$C$20:$C$24</c:f>
              <c:strCache>
                <c:ptCount val="5"/>
                <c:pt idx="0">
                  <c:v>Technique </c:v>
                </c:pt>
                <c:pt idx="1">
                  <c:v>Administratif</c:v>
                </c:pt>
                <c:pt idx="2">
                  <c:v>Gestion du personnel </c:v>
                </c:pt>
                <c:pt idx="3">
                  <c:v>Commercial</c:v>
                </c:pt>
                <c:pt idx="4">
                  <c:v>Financier </c:v>
                </c:pt>
              </c:strCache>
            </c:strRef>
          </c:cat>
          <c:val>
            <c:numRef>
              <c:f>'PREOCCUPATION '!$D$20:$D$24</c:f>
              <c:numCache>
                <c:formatCode>0.0%</c:formatCode>
                <c:ptCount val="5"/>
                <c:pt idx="0">
                  <c:v>7.0999999999999994E-2</c:v>
                </c:pt>
                <c:pt idx="1">
                  <c:v>0.106</c:v>
                </c:pt>
                <c:pt idx="2">
                  <c:v>0.11700000000000001</c:v>
                </c:pt>
                <c:pt idx="3">
                  <c:v>0.24199999999999999</c:v>
                </c:pt>
                <c:pt idx="4">
                  <c:v>0.46300000000000002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3C37-4702-8E06-51039A976D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9693440"/>
        <c:axId val="1689693984"/>
      </c:barChart>
      <c:catAx>
        <c:axId val="1689693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689693984"/>
        <c:crosses val="autoZero"/>
        <c:auto val="1"/>
        <c:lblAlgn val="ctr"/>
        <c:lblOffset val="100"/>
        <c:noMultiLvlLbl val="0"/>
      </c:catAx>
      <c:valAx>
        <c:axId val="1689693984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1689693440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crédit de trésorerie au cours des 3 derniers mois 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6311048992338174"/>
          <c:y val="0.22977491449932397"/>
          <c:w val="0.28646748681898065"/>
          <c:h val="0.49544072948328266"/>
        </c:manualLayout>
      </c:layout>
      <c:pieChart>
        <c:varyColors val="1"/>
        <c:ser>
          <c:idx val="0"/>
          <c:order val="0"/>
          <c:explosion val="22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4FCF-4BED-ACF7-BB81781E30F0}"/>
              </c:ext>
            </c:extLst>
          </c:dPt>
          <c:dPt>
            <c:idx val="1"/>
            <c:bubble3D val="0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4FCF-4BED-ACF7-BB81781E30F0}"/>
              </c:ext>
            </c:extLst>
          </c:dPt>
          <c:dLbls>
            <c:dLbl>
              <c:idx val="0"/>
              <c:layout>
                <c:manualLayout>
                  <c:x val="3.6038728902296705E-3"/>
                  <c:y val="2.93645112542750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94,6%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CF-4BED-ACF7-BB81781E30F0}"/>
                </c:ext>
              </c:extLst>
            </c:dLbl>
            <c:dLbl>
              <c:idx val="1"/>
              <c:layout>
                <c:manualLayout>
                  <c:x val="-2.4722841103561526E-2"/>
                  <c:y val="0.1272459124427628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5,4%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CF-4BED-ACF7-BB81781E30F0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FCF-4BED-ACF7-BB81781E30F0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CREDTRESORERIE!$A$4:$A$5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CREDTRESORERIE!$C$4:$C$5</c:f>
              <c:numCache>
                <c:formatCode>0.0%</c:formatCode>
                <c:ptCount val="2"/>
                <c:pt idx="0">
                  <c:v>0.94608256107834876</c:v>
                </c:pt>
                <c:pt idx="1">
                  <c:v>5.3917438921651219E-2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FCF-4BED-ACF7-BB81781E3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50656167979004"/>
          <c:y val="0.10185185185185185"/>
          <c:w val="0.53888888888888886"/>
          <c:h val="0.89814814814814814"/>
        </c:manualLayout>
      </c:layout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AE6C-4C82-8B58-F7569B6424E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AE6C-4C82-8B58-F7569B6424E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AE6C-4C82-8B58-F7569B6424E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AE6C-4C82-8B58-F7569B6424E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AE6C-4C82-8B58-F7569B6424E6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CREDTRESORERIE!$G$21:$G$25</c:f>
              <c:strCache>
                <c:ptCount val="5"/>
                <c:pt idx="0">
                  <c:v>Pas besoin de crédit </c:v>
                </c:pt>
                <c:pt idx="1">
                  <c:v>Pas d'engagement supplémentaire </c:v>
                </c:pt>
                <c:pt idx="2">
                  <c:v>Situation de l'entreprise non favorable </c:v>
                </c:pt>
                <c:pt idx="3">
                  <c:v>Critères trop sévères du prêteur</c:v>
                </c:pt>
                <c:pt idx="4">
                  <c:v>Sans réponse </c:v>
                </c:pt>
              </c:strCache>
            </c:strRef>
          </c:cat>
          <c:val>
            <c:numRef>
              <c:f>CREDTRESORERIE!$I$21:$I$25</c:f>
              <c:numCache>
                <c:formatCode>0.0%</c:formatCode>
                <c:ptCount val="5"/>
                <c:pt idx="0">
                  <c:v>0.57128712871287124</c:v>
                </c:pt>
                <c:pt idx="1">
                  <c:v>0.26039603960396041</c:v>
                </c:pt>
                <c:pt idx="2">
                  <c:v>4.6534653465346534E-2</c:v>
                </c:pt>
                <c:pt idx="3">
                  <c:v>1.5841584158415842E-2</c:v>
                </c:pt>
                <c:pt idx="4">
                  <c:v>0.10594059405940594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E6C-4C82-8B58-F7569B642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crédit d'investissements  au cours des 3 derniers mois </a:t>
            </a:r>
          </a:p>
        </c:rich>
      </c:tx>
      <c:layout>
        <c:manualLayout>
          <c:xMode val="edge"/>
          <c:yMode val="edge"/>
          <c:x val="0.14397512517508082"/>
          <c:y val="1.8292881929084705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9123690464364586"/>
          <c:y val="0.26524429729822269"/>
          <c:w val="0.23630709040476208"/>
          <c:h val="0.46036653898886926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explosion val="9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D4A5-4491-9A8B-541AD1DD1139}"/>
              </c:ext>
            </c:extLst>
          </c:dPt>
          <c:dPt>
            <c:idx val="1"/>
            <c:bubble3D val="0"/>
            <c:explosion val="18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D4A5-4491-9A8B-541AD1DD1139}"/>
              </c:ext>
            </c:extLst>
          </c:dPt>
          <c:dLbls>
            <c:dLbl>
              <c:idx val="0"/>
              <c:layout>
                <c:manualLayout>
                  <c:x val="6.5523147634714674E-2"/>
                  <c:y val="-0.1767086417568590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93%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A5-4491-9A8B-541AD1DD1139}"/>
                </c:ext>
              </c:extLst>
            </c:dLbl>
            <c:dLbl>
              <c:idx val="1"/>
              <c:layout>
                <c:manualLayout>
                  <c:x val="0.1106201865611869"/>
                  <c:y val="6.80228454589243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7,0%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A5-4491-9A8B-541AD1DD1139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A5-4491-9A8B-541AD1DD1139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CREDINVESTSSEMENTS!$A$4:$A$5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CREDINVESTSSEMENTS!$C$4:$C$5</c:f>
              <c:numCache>
                <c:formatCode>0.0%</c:formatCode>
                <c:ptCount val="2"/>
                <c:pt idx="0">
                  <c:v>0.92999135695764912</c:v>
                </c:pt>
                <c:pt idx="1">
                  <c:v>7.000864304235091E-2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A5-4491-9A8B-541AD1DD1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290415157959272"/>
          <c:y val="0.10079773874419544"/>
          <c:w val="0.53888888888888886"/>
          <c:h val="0.89814814814814814"/>
        </c:manualLayout>
      </c:layout>
      <c:pieChart>
        <c:varyColors val="1"/>
        <c:ser>
          <c:idx val="0"/>
          <c:order val="0"/>
          <c:explosion val="2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352-4BE2-B861-186FC4311099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2-5352-4BE2-B861-186FC4311099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3-5352-4BE2-B861-186FC4311099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4-5352-4BE2-B861-186FC4311099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5-5352-4BE2-B861-186FC4311099}"/>
              </c:ext>
            </c:extLst>
          </c:dPt>
          <c:dLbls>
            <c:dLbl>
              <c:idx val="0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352-4BE2-B861-186FC4311099}"/>
                </c:ext>
              </c:extLst>
            </c:dLbl>
            <c:dLbl>
              <c:idx val="1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52-4BE2-B861-186FC4311099}"/>
                </c:ext>
              </c:extLst>
            </c:dLbl>
            <c:dLbl>
              <c:idx val="2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52-4BE2-B861-186FC4311099}"/>
                </c:ext>
              </c:extLst>
            </c:dLbl>
            <c:dLbl>
              <c:idx val="3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52-4BE2-B861-186FC4311099}"/>
                </c:ext>
              </c:extLst>
            </c:dLbl>
            <c:dLbl>
              <c:idx val="4"/>
              <c:spPr/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52-4BE2-B861-186FC431109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CREDINVESTSSEMENTS!$H$23:$I$27</c:f>
              <c:strCache>
                <c:ptCount val="5"/>
                <c:pt idx="0">
                  <c:v>Pas besoin de crédit </c:v>
                </c:pt>
                <c:pt idx="1">
                  <c:v>Pas d'engagement supplémentaire </c:v>
                </c:pt>
                <c:pt idx="2">
                  <c:v>Situation de l'entreprise non favorable </c:v>
                </c:pt>
                <c:pt idx="3">
                  <c:v>Critères trop sévères du prêteur</c:v>
                </c:pt>
                <c:pt idx="4">
                  <c:v>Sans réponse </c:v>
                </c:pt>
              </c:strCache>
            </c:strRef>
          </c:cat>
          <c:val>
            <c:numRef>
              <c:f>CREDINVESTSSEMENTS!$J$23:$J$27</c:f>
              <c:numCache>
                <c:formatCode>0.00%</c:formatCode>
                <c:ptCount val="5"/>
                <c:pt idx="0">
                  <c:v>0.56412825651302601</c:v>
                </c:pt>
                <c:pt idx="1">
                  <c:v>0.26152304609218435</c:v>
                </c:pt>
                <c:pt idx="2">
                  <c:v>5.5110220440881763E-2</c:v>
                </c:pt>
                <c:pt idx="3">
                  <c:v>1.6032064128256512E-2</c:v>
                </c:pt>
                <c:pt idx="4">
                  <c:v>0.10320641282565131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352-4BE2-B861-186FC43110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Demande de nouvelles exigences de la part de la banque en matière de garanties </a:t>
            </a:r>
          </a:p>
        </c:rich>
      </c:tx>
      <c:layout>
        <c:manualLayout>
          <c:xMode val="edge"/>
          <c:yMode val="edge"/>
          <c:x val="9.7552292159799048E-2"/>
          <c:y val="2.8360773085182537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9748994578846775"/>
          <c:y val="0.34277620396600567"/>
          <c:w val="0.29913047678856092"/>
          <c:h val="0.55407122405153897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A739-46AA-B374-EC05A9AF9644}"/>
              </c:ext>
            </c:extLst>
          </c:dPt>
          <c:dPt>
            <c:idx val="1"/>
            <c:bubble3D val="0"/>
            <c:spPr>
              <a:solidFill>
                <a:srgbClr val="00FFFF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A739-46AA-B374-EC05A9AF9644}"/>
              </c:ext>
            </c:extLst>
          </c:dPt>
          <c:dLbls>
            <c:dLbl>
              <c:idx val="0"/>
              <c:layout>
                <c:manualLayout>
                  <c:x val="-0.10720399980677262"/>
                  <c:y val="1.73666785969935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
79,8%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739-46AA-B374-EC05A9AF9644}"/>
                </c:ext>
              </c:extLst>
            </c:dLbl>
            <c:dLbl>
              <c:idx val="1"/>
              <c:layout>
                <c:manualLayout>
                  <c:x val="-5.2200376793392371E-3"/>
                  <c:y val="3.50000415007548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Oui
20,2%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5143229795662047E-2"/>
                      <c:h val="0.1201354876511995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A739-46AA-B374-EC05A9AF9644}"/>
                </c:ext>
              </c:extLst>
            </c:dLbl>
            <c:dLbl>
              <c:idx val="2"/>
              <c:layout>
                <c:manualLayout>
                  <c:x val="-1.7832559359164227E-2"/>
                  <c:y val="6.122132015432282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739-46AA-B374-EC05A9AF9644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'EXIGENCES '!$A$4:$A$5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'EXIGENCES '!$C$4:$C$5</c:f>
              <c:numCache>
                <c:formatCode>0.0%</c:formatCode>
                <c:ptCount val="2"/>
                <c:pt idx="0">
                  <c:v>0.79807692307692313</c:v>
                </c:pt>
                <c:pt idx="1">
                  <c:v>0.20192307692307693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739-46AA-B374-EC05A9AF9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Comparatif 2T2021 - 2T2022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'COMPARATIF '!$D$7</c:f>
              <c:strCache>
                <c:ptCount val="1"/>
                <c:pt idx="0">
                  <c:v>2T2022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'COMPARATIF '!$B$8:$B$10</c:f>
              <c:strCache>
                <c:ptCount val="3"/>
                <c:pt idx="0">
                  <c:v>Demande de crédit de trésorerie</c:v>
                </c:pt>
                <c:pt idx="1">
                  <c:v>Demande de Crédit d'investissement</c:v>
                </c:pt>
                <c:pt idx="2">
                  <c:v>Nouvelles exigences en matière de garantie</c:v>
                </c:pt>
              </c:strCache>
            </c:strRef>
          </c:cat>
          <c:val>
            <c:numRef>
              <c:f>'COMPARATIF '!$D$8:$D$10</c:f>
              <c:numCache>
                <c:formatCode>0.00%</c:formatCode>
                <c:ptCount val="3"/>
                <c:pt idx="0">
                  <c:v>5.3999999999999999E-2</c:v>
                </c:pt>
                <c:pt idx="1">
                  <c:v>7.0000000000000007E-2</c:v>
                </c:pt>
                <c:pt idx="2">
                  <c:v>0.20200000000000001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D6-4DA9-B15F-5B704920F3EC}"/>
            </c:ext>
          </c:extLst>
        </c:ser>
        <c:ser>
          <c:idx val="0"/>
          <c:order val="1"/>
          <c:tx>
            <c:strRef>
              <c:f>'COMPARATIF '!$C$7</c:f>
              <c:strCache>
                <c:ptCount val="1"/>
                <c:pt idx="0">
                  <c:v>2T2021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'COMPARATIF '!$B$8:$B$10</c:f>
              <c:strCache>
                <c:ptCount val="3"/>
                <c:pt idx="0">
                  <c:v>Demande de crédit de trésorerie</c:v>
                </c:pt>
                <c:pt idx="1">
                  <c:v>Demande de Crédit d'investissement</c:v>
                </c:pt>
                <c:pt idx="2">
                  <c:v>Nouvelles exigences en matière de garantie</c:v>
                </c:pt>
              </c:strCache>
            </c:strRef>
          </c:cat>
          <c:val>
            <c:numRef>
              <c:f>'COMPARATIF '!$C$8:$C$10</c:f>
              <c:numCache>
                <c:formatCode>0.00%</c:formatCode>
                <c:ptCount val="3"/>
                <c:pt idx="0">
                  <c:v>5.5E-2</c:v>
                </c:pt>
                <c:pt idx="1">
                  <c:v>6.5000000000000002E-2</c:v>
                </c:pt>
                <c:pt idx="2">
                  <c:v>0.155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D6-4DA9-B15F-5B704920F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99613936"/>
        <c:axId val="799616112"/>
      </c:barChart>
      <c:catAx>
        <c:axId val="79961393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99616112"/>
        <c:crosses val="autoZero"/>
        <c:auto val="1"/>
        <c:lblAlgn val="ctr"/>
        <c:lblOffset val="100"/>
        <c:noMultiLvlLbl val="0"/>
      </c:catAx>
      <c:valAx>
        <c:axId val="799616112"/>
        <c:scaling>
          <c:orientation val="minMax"/>
        </c:scaling>
        <c:delete val="1"/>
        <c:axPos val="t"/>
        <c:numFmt formatCode="0.00%" sourceLinked="1"/>
        <c:majorTickMark val="out"/>
        <c:minorTickMark val="none"/>
        <c:tickLblPos val="nextTo"/>
        <c:crossAx val="79961393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319723770792386"/>
          <c:y val="4.6511627906976744E-2"/>
          <c:w val="0.67465753424657537"/>
          <c:h val="0.910300480008824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OPTI!$A$40</c:f>
              <c:strCache>
                <c:ptCount val="1"/>
                <c:pt idx="0">
                  <c:v>SR</c:v>
                </c:pt>
              </c:strCache>
            </c:strRef>
          </c:tx>
          <c:spPr>
            <a:solidFill>
              <a:srgbClr val="33CAFF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OPTI!$B$40:$E$40</c:f>
              <c:numCache>
                <c:formatCode>0.0%</c:formatCode>
                <c:ptCount val="4"/>
                <c:pt idx="0">
                  <c:v>5.2173913043478258E-2</c:v>
                </c:pt>
                <c:pt idx="1">
                  <c:v>5.6530214424951264E-2</c:v>
                </c:pt>
                <c:pt idx="2">
                  <c:v>4.1152263374485597E-2</c:v>
                </c:pt>
                <c:pt idx="3">
                  <c:v>1.020408163265306E-2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CB-4B3C-8A2F-B506F3924F9F}"/>
            </c:ext>
          </c:extLst>
        </c:ser>
        <c:ser>
          <c:idx val="1"/>
          <c:order val="1"/>
          <c:tx>
            <c:strRef>
              <c:f>OPTI!$A$41</c:f>
              <c:strCache>
                <c:ptCount val="1"/>
                <c:pt idx="0">
                  <c:v>Hausse</c:v>
                </c:pt>
              </c:strCache>
            </c:strRef>
          </c:tx>
          <c:spPr>
            <a:solidFill>
              <a:srgbClr val="FF9B57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OPTI!$B$41:$E$41</c:f>
              <c:numCache>
                <c:formatCode>0.0%</c:formatCode>
                <c:ptCount val="4"/>
                <c:pt idx="0">
                  <c:v>8.6956521739130432E-2</c:v>
                </c:pt>
                <c:pt idx="1">
                  <c:v>0.10721247563352826</c:v>
                </c:pt>
                <c:pt idx="2">
                  <c:v>0.12345679012345678</c:v>
                </c:pt>
                <c:pt idx="3">
                  <c:v>0.1326530612244898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CB-4B3C-8A2F-B506F3924F9F}"/>
            </c:ext>
          </c:extLst>
        </c:ser>
        <c:ser>
          <c:idx val="2"/>
          <c:order val="2"/>
          <c:tx>
            <c:strRef>
              <c:f>OPTI!$A$42</c:f>
              <c:strCache>
                <c:ptCount val="1"/>
                <c:pt idx="0">
                  <c:v>Stable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OPTI!$B$42:$E$42</c:f>
              <c:numCache>
                <c:formatCode>0.0%</c:formatCode>
                <c:ptCount val="4"/>
                <c:pt idx="0">
                  <c:v>0.57971014492753625</c:v>
                </c:pt>
                <c:pt idx="1">
                  <c:v>0.21</c:v>
                </c:pt>
                <c:pt idx="2">
                  <c:v>0.64197530864197527</c:v>
                </c:pt>
                <c:pt idx="3">
                  <c:v>0.66326530612244894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8CB-4B3C-8A2F-B506F3924F9F}"/>
            </c:ext>
          </c:extLst>
        </c:ser>
        <c:ser>
          <c:idx val="3"/>
          <c:order val="3"/>
          <c:tx>
            <c:strRef>
              <c:f>OPTI!$A$43</c:f>
              <c:strCache>
                <c:ptCount val="1"/>
                <c:pt idx="0">
                  <c:v>Baisse</c:v>
                </c:pt>
              </c:strCache>
            </c:strRef>
          </c:tx>
          <c:spPr>
            <a:solidFill>
              <a:srgbClr val="B28BFF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OPTI!$B$39:$E$39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OPTI!$B$43:$E$43</c:f>
              <c:numCache>
                <c:formatCode>0.0%</c:formatCode>
                <c:ptCount val="4"/>
                <c:pt idx="0">
                  <c:v>0.28115942028985508</c:v>
                </c:pt>
                <c:pt idx="1">
                  <c:v>0.30409356725146197</c:v>
                </c:pt>
                <c:pt idx="2">
                  <c:v>0.19341563786008231</c:v>
                </c:pt>
                <c:pt idx="3">
                  <c:v>0.19387755102040816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8CB-4B3C-8A2F-B506F3924F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2348320"/>
        <c:axId val="382354848"/>
      </c:barChart>
      <c:catAx>
        <c:axId val="3823483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82354848"/>
        <c:crosses val="autoZero"/>
        <c:auto val="1"/>
        <c:lblAlgn val="ctr"/>
        <c:lblOffset val="100"/>
        <c:noMultiLvlLbl val="0"/>
      </c:catAx>
      <c:valAx>
        <c:axId val="382354848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3823483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7671239636374465"/>
          <c:y val="0.34219338861712051"/>
          <c:w val="0.10958911335434773"/>
          <c:h val="0.38870501652409722"/>
        </c:manualLayout>
      </c:layout>
      <c:overlay val="0"/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5893416927899685"/>
          <c:y val="5.7339513756443694E-2"/>
          <c:w val="0.50783699059561127"/>
          <c:h val="0.9334872839549033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OPTI!$B$73</c:f>
              <c:strCache>
                <c:ptCount val="1"/>
                <c:pt idx="0">
                  <c:v>Hausse</c:v>
                </c:pt>
              </c:strCache>
            </c:strRef>
          </c:tx>
          <c:spPr>
            <a:solidFill>
              <a:srgbClr val="00CC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097393689986282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56-4D33-9D9E-99A6AA2CEDE8}"/>
                </c:ext>
              </c:extLst>
            </c:dLbl>
            <c:dLbl>
              <c:idx val="7"/>
              <c:layout>
                <c:manualLayout>
                  <c:x val="-3.1390932100565619E-3"/>
                  <c:y val="2.4644806723103275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56-4D33-9D9E-99A6AA2CEDE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OPTI!$B$74:$B$84</c:f>
              <c:numCache>
                <c:formatCode>0.0%</c:formatCode>
                <c:ptCount val="11"/>
                <c:pt idx="0">
                  <c:v>5.4054054054054057E-2</c:v>
                </c:pt>
                <c:pt idx="1">
                  <c:v>0.11931818181818182</c:v>
                </c:pt>
                <c:pt idx="2">
                  <c:v>6.4102564102564097E-2</c:v>
                </c:pt>
                <c:pt idx="3">
                  <c:v>9.5238095238095233E-2</c:v>
                </c:pt>
                <c:pt idx="4">
                  <c:v>0.2</c:v>
                </c:pt>
                <c:pt idx="5">
                  <c:v>0.16666666666666666</c:v>
                </c:pt>
                <c:pt idx="6">
                  <c:v>3.8461538461538464E-2</c:v>
                </c:pt>
                <c:pt idx="7">
                  <c:v>0.15</c:v>
                </c:pt>
                <c:pt idx="8">
                  <c:v>0.11363636363636363</c:v>
                </c:pt>
                <c:pt idx="9">
                  <c:v>8.3333333333333329E-2</c:v>
                </c:pt>
                <c:pt idx="10">
                  <c:v>0.16981132075471697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56-4D33-9D9E-99A6AA2CEDE8}"/>
            </c:ext>
          </c:extLst>
        </c:ser>
        <c:ser>
          <c:idx val="1"/>
          <c:order val="1"/>
          <c:tx>
            <c:strRef>
              <c:f>OPTI!$C$73</c:f>
              <c:strCache>
                <c:ptCount val="1"/>
                <c:pt idx="0">
                  <c:v>Stable</c:v>
                </c:pt>
              </c:strCache>
            </c:strRef>
          </c:tx>
          <c:spPr>
            <a:solidFill>
              <a:srgbClr val="FFCC99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OPTI!$C$74:$C$84</c:f>
              <c:numCache>
                <c:formatCode>0.0%</c:formatCode>
                <c:ptCount val="11"/>
                <c:pt idx="0">
                  <c:v>0.67567567567567566</c:v>
                </c:pt>
                <c:pt idx="1">
                  <c:v>0.59090909090909094</c:v>
                </c:pt>
                <c:pt idx="2">
                  <c:v>0.64102564102564108</c:v>
                </c:pt>
                <c:pt idx="3">
                  <c:v>0.47619047619047616</c:v>
                </c:pt>
                <c:pt idx="4">
                  <c:v>0.53333333333333333</c:v>
                </c:pt>
                <c:pt idx="5">
                  <c:v>0.66666666666666663</c:v>
                </c:pt>
                <c:pt idx="6">
                  <c:v>0.57692307692307687</c:v>
                </c:pt>
                <c:pt idx="7">
                  <c:v>0.6</c:v>
                </c:pt>
                <c:pt idx="8">
                  <c:v>0.59090909090909094</c:v>
                </c:pt>
                <c:pt idx="9">
                  <c:v>0.41666666666666669</c:v>
                </c:pt>
                <c:pt idx="10">
                  <c:v>0.64150943396226412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56-4D33-9D9E-99A6AA2CEDE8}"/>
            </c:ext>
          </c:extLst>
        </c:ser>
        <c:ser>
          <c:idx val="2"/>
          <c:order val="2"/>
          <c:tx>
            <c:strRef>
              <c:f>OPTI!$D$73</c:f>
              <c:strCache>
                <c:ptCount val="1"/>
                <c:pt idx="0">
                  <c:v>Baisse</c:v>
                </c:pt>
              </c:strCache>
            </c:strRef>
          </c:tx>
          <c:spPr>
            <a:solidFill>
              <a:srgbClr val="CC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25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OPTI!$A$74:$A$84</c:f>
              <c:strCache>
                <c:ptCount val="11"/>
                <c:pt idx="0">
                  <c:v>Automobile</c:v>
                </c:pt>
                <c:pt idx="1">
                  <c:v>Bâtiment</c:v>
                </c:pt>
                <c:pt idx="2">
                  <c:v>Beauté, esthétique</c:v>
                </c:pt>
                <c:pt idx="3">
                  <c:v>Commerce de détail alimentaire</c:v>
                </c:pt>
                <c:pt idx="4">
                  <c:v>Culture et loisirs</c:v>
                </c:pt>
                <c:pt idx="5">
                  <c:v>Equipement de la maison</c:v>
                </c:pt>
                <c:pt idx="6">
                  <c:v>Equipement de la personne</c:v>
                </c:pt>
                <c:pt idx="7">
                  <c:v>Café, hôtellerie, restauration</c:v>
                </c:pt>
                <c:pt idx="8">
                  <c:v>Santé</c:v>
                </c:pt>
                <c:pt idx="9">
                  <c:v>Services</c:v>
                </c:pt>
                <c:pt idx="10">
                  <c:v>Transports</c:v>
                </c:pt>
              </c:strCache>
            </c:strRef>
          </c:cat>
          <c:val>
            <c:numRef>
              <c:f>OPTI!$D$74:$D$84</c:f>
              <c:numCache>
                <c:formatCode>0.0%</c:formatCode>
                <c:ptCount val="11"/>
                <c:pt idx="0">
                  <c:v>0.27027027027027029</c:v>
                </c:pt>
                <c:pt idx="1">
                  <c:v>0.28977272727272729</c:v>
                </c:pt>
                <c:pt idx="2">
                  <c:v>0.29487179487179488</c:v>
                </c:pt>
                <c:pt idx="3">
                  <c:v>0.42857142857142855</c:v>
                </c:pt>
                <c:pt idx="4">
                  <c:v>0.26666666666666666</c:v>
                </c:pt>
                <c:pt idx="5">
                  <c:v>0.16666666666666666</c:v>
                </c:pt>
                <c:pt idx="6">
                  <c:v>0.38461538461538464</c:v>
                </c:pt>
                <c:pt idx="7">
                  <c:v>0.25</c:v>
                </c:pt>
                <c:pt idx="8">
                  <c:v>0.29545454545454547</c:v>
                </c:pt>
                <c:pt idx="9">
                  <c:v>0.5</c:v>
                </c:pt>
                <c:pt idx="10">
                  <c:v>0.18867924528301888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56-4D33-9D9E-99A6AA2CED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2361376"/>
        <c:axId val="382361920"/>
      </c:barChart>
      <c:catAx>
        <c:axId val="382361376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3823619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82361920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3823613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087774294670851"/>
          <c:y val="0.4225361970598745"/>
          <c:w val="0.10815047021943569"/>
          <c:h val="0.15962465959360711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6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2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Investissements dans les 3 mois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2430643044619417"/>
          <c:y val="0.24025974025974026"/>
          <c:w val="0.34236111111111112"/>
          <c:h val="0.53354978354978355"/>
        </c:manualLayout>
      </c:layout>
      <c:pieChart>
        <c:varyColors val="1"/>
        <c:ser>
          <c:idx val="0"/>
          <c:order val="0"/>
          <c:explosion val="6"/>
          <c:dPt>
            <c:idx val="0"/>
            <c:bubble3D val="0"/>
            <c:spPr>
              <a:solidFill>
                <a:srgbClr val="FF6600"/>
              </a:solidFill>
            </c:spPr>
            <c:extLst>
              <c:ext xmlns:c16="http://schemas.microsoft.com/office/drawing/2014/chart" uri="{C3380CC4-5D6E-409C-BE32-E72D297353CC}">
                <c16:uniqueId val="{00000001-D537-45AF-8E4B-7DE666C48768}"/>
              </c:ext>
            </c:extLst>
          </c:dPt>
          <c:dPt>
            <c:idx val="1"/>
            <c:bubble3D val="0"/>
            <c:spPr>
              <a:solidFill>
                <a:srgbClr val="FFCC00"/>
              </a:solidFill>
            </c:spPr>
            <c:extLst>
              <c:ext xmlns:c16="http://schemas.microsoft.com/office/drawing/2014/chart" uri="{C3380CC4-5D6E-409C-BE32-E72D297353CC}">
                <c16:uniqueId val="{00000003-D537-45AF-8E4B-7DE666C48768}"/>
              </c:ext>
            </c:extLst>
          </c:dPt>
          <c:dPt>
            <c:idx val="2"/>
            <c:bubble3D val="0"/>
            <c:spPr>
              <a:solidFill>
                <a:srgbClr val="FF7C80"/>
              </a:solidFill>
            </c:spPr>
            <c:extLst>
              <c:ext xmlns:c16="http://schemas.microsoft.com/office/drawing/2014/chart" uri="{C3380CC4-5D6E-409C-BE32-E72D297353CC}">
                <c16:uniqueId val="{00000005-D537-45AF-8E4B-7DE666C48768}"/>
              </c:ext>
            </c:extLst>
          </c:dPt>
          <c:dLbls>
            <c:dLbl>
              <c:idx val="0"/>
              <c:layout>
                <c:manualLayout>
                  <c:x val="0.12733730234940144"/>
                  <c:y val="7.79732411497343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Sans</a:t>
                    </a:r>
                    <a:r>
                      <a:rPr lang="en-US" baseline="0"/>
                      <a:t> réponse
3,4%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37-45AF-8E4B-7DE666C48768}"/>
                </c:ext>
              </c:extLst>
            </c:dLbl>
            <c:dLbl>
              <c:idx val="1"/>
              <c:layout>
                <c:manualLayout>
                  <c:x val="-3.6797814907282934E-2"/>
                  <c:y val="6.58824659112732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Non</a:t>
                    </a:r>
                    <a:r>
                      <a:rPr lang="en-US" baseline="0"/>
                      <a:t>
81,6%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37-45AF-8E4B-7DE666C48768}"/>
                </c:ext>
              </c:extLst>
            </c:dLbl>
            <c:dLbl>
              <c:idx val="2"/>
              <c:layout>
                <c:manualLayout>
                  <c:x val="-5.0953630796150484E-3"/>
                  <c:y val="4.9026310735548299E-2"/>
                </c:manualLayout>
              </c:layout>
              <c:tx>
                <c:rich>
                  <a:bodyPr/>
                  <a:lstStyle/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Oui </a:t>
                    </a:r>
                  </a:p>
                  <a:p>
                    <a:r>
                      <a:rPr lang="en-US" sz="1000" b="0" i="0" u="none" strike="noStrike" baseline="0">
                        <a:solidFill>
                          <a:srgbClr val="000000"/>
                        </a:solidFill>
                        <a:latin typeface="Calibri"/>
                      </a:rPr>
                      <a:t>14,9%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37-45AF-8E4B-7DE666C48768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INVT!$A$3:$A$5</c:f>
              <c:strCache>
                <c:ptCount val="3"/>
                <c:pt idx="0">
                  <c:v>Sans réponse</c:v>
                </c:pt>
                <c:pt idx="1">
                  <c:v>Non</c:v>
                </c:pt>
                <c:pt idx="2">
                  <c:v>Oui</c:v>
                </c:pt>
              </c:strCache>
            </c:strRef>
          </c:cat>
          <c:val>
            <c:numRef>
              <c:f>INVT!$C$3:$C$5</c:f>
              <c:numCache>
                <c:formatCode>0.0%</c:formatCode>
                <c:ptCount val="3"/>
                <c:pt idx="0">
                  <c:v>3.4367141659681473E-2</c:v>
                </c:pt>
                <c:pt idx="1">
                  <c:v>0.81559094719195302</c:v>
                </c:pt>
                <c:pt idx="2">
                  <c:v>0.14929107589658047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537-45AF-8E4B-7DE666C487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Projets d'investissements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3740856844305124E-2"/>
          <c:y val="0.12654353391011308"/>
          <c:w val="0.87460815047021945"/>
          <c:h val="0.66666867606058322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333399"/>
                    </a:solidFill>
                    <a:latin typeface="Verdana"/>
                    <a:ea typeface="Verdana"/>
                    <a:cs typeface="Verdana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'détails INVT'!$G$14:$G$17</c:f>
              <c:strCache>
                <c:ptCount val="4"/>
                <c:pt idx="0">
                  <c:v>Aménagement - Rénovation</c:v>
                </c:pt>
                <c:pt idx="1">
                  <c:v>Matériel, mobilier, informatique</c:v>
                </c:pt>
                <c:pt idx="2">
                  <c:v>Autres</c:v>
                </c:pt>
                <c:pt idx="3">
                  <c:v>Constructions</c:v>
                </c:pt>
              </c:strCache>
            </c:strRef>
          </c:cat>
          <c:val>
            <c:numRef>
              <c:f>'détails INVT'!$H$14:$H$17</c:f>
              <c:numCache>
                <c:formatCode>0.0%</c:formatCode>
                <c:ptCount val="4"/>
                <c:pt idx="0">
                  <c:v>0.41899441340782123</c:v>
                </c:pt>
                <c:pt idx="1">
                  <c:v>0.40782122905027934</c:v>
                </c:pt>
                <c:pt idx="2">
                  <c:v>0.18994413407821228</c:v>
                </c:pt>
                <c:pt idx="3">
                  <c:v>7.8212290502793297E-2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0-47FC-AA2C-ED69E981F0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2352672"/>
        <c:axId val="382350496"/>
      </c:barChart>
      <c:catAx>
        <c:axId val="382352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82350496"/>
        <c:crosses val="autoZero"/>
        <c:auto val="1"/>
        <c:lblAlgn val="ctr"/>
        <c:lblOffset val="100"/>
        <c:noMultiLvlLbl val="0"/>
      </c:catAx>
      <c:valAx>
        <c:axId val="382350496"/>
        <c:scaling>
          <c:orientation val="minMax"/>
        </c:scaling>
        <c:delete val="1"/>
        <c:axPos val="l"/>
        <c:numFmt formatCode="0.0%" sourceLinked="1"/>
        <c:majorTickMark val="out"/>
        <c:minorTickMark val="none"/>
        <c:tickLblPos val="nextTo"/>
        <c:crossAx val="3823526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8615532894453768"/>
          <c:y val="3.2520325203252036E-2"/>
          <c:w val="0.79635833225764807"/>
          <c:h val="0.897793263646922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INVT!$A$23:$A$26</c:f>
              <c:strCache>
                <c:ptCount val="4"/>
                <c:pt idx="0">
                  <c:v>60 ans et plus</c:v>
                </c:pt>
                <c:pt idx="1">
                  <c:v>50-59 ans</c:v>
                </c:pt>
                <c:pt idx="2">
                  <c:v>40-49 ans</c:v>
                </c:pt>
                <c:pt idx="3">
                  <c:v>Moins de 39 ans</c:v>
                </c:pt>
              </c:strCache>
            </c:strRef>
          </c:cat>
          <c:val>
            <c:numRef>
              <c:f>INVT!$B$23:$B$26</c:f>
              <c:numCache>
                <c:formatCode>0.0%</c:formatCode>
                <c:ptCount val="4"/>
                <c:pt idx="0">
                  <c:v>0.1111111111111111</c:v>
                </c:pt>
                <c:pt idx="1">
                  <c:v>0.13035019455252919</c:v>
                </c:pt>
                <c:pt idx="2">
                  <c:v>0.22321428571428573</c:v>
                </c:pt>
                <c:pt idx="3">
                  <c:v>0.20792079207920791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9E-45CA-B368-AEEF5DB6A0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2346688"/>
        <c:axId val="382356480"/>
      </c:barChart>
      <c:catAx>
        <c:axId val="382346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382356480"/>
        <c:crosses val="autoZero"/>
        <c:auto val="1"/>
        <c:lblAlgn val="ctr"/>
        <c:lblOffset val="100"/>
        <c:noMultiLvlLbl val="0"/>
      </c:catAx>
      <c:valAx>
        <c:axId val="382356480"/>
        <c:scaling>
          <c:orientation val="minMax"/>
        </c:scaling>
        <c:delete val="1"/>
        <c:axPos val="b"/>
        <c:numFmt formatCode="0.0%" sourceLinked="1"/>
        <c:majorTickMark val="out"/>
        <c:minorTickMark val="none"/>
        <c:tickLblPos val="nextTo"/>
        <c:crossAx val="38234668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547713726419652"/>
          <c:y val="4.0009332166812475E-2"/>
          <c:w val="0.68452286273580354"/>
          <c:h val="0.92427646544181974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INVT!$A$62:$A$72</c:f>
              <c:strCache>
                <c:ptCount val="11"/>
                <c:pt idx="0">
                  <c:v>Café, hôtellerie, restauration</c:v>
                </c:pt>
                <c:pt idx="1">
                  <c:v>Commerce de détail alimentaire</c:v>
                </c:pt>
                <c:pt idx="2">
                  <c:v>Culture et loisirs</c:v>
                </c:pt>
                <c:pt idx="3">
                  <c:v>Transports</c:v>
                </c:pt>
                <c:pt idx="4">
                  <c:v>Equipement de la maison</c:v>
                </c:pt>
                <c:pt idx="5">
                  <c:v>Services</c:v>
                </c:pt>
                <c:pt idx="6">
                  <c:v>Santé</c:v>
                </c:pt>
                <c:pt idx="7">
                  <c:v>Beauté, esthétique</c:v>
                </c:pt>
                <c:pt idx="8">
                  <c:v>Bâtiment</c:v>
                </c:pt>
                <c:pt idx="9">
                  <c:v>Equipement de la personne</c:v>
                </c:pt>
                <c:pt idx="10">
                  <c:v>Automobile</c:v>
                </c:pt>
              </c:strCache>
            </c:strRef>
          </c:cat>
          <c:val>
            <c:numRef>
              <c:f>INVT!$B$62:$B$72</c:f>
              <c:numCache>
                <c:formatCode>0.0%</c:formatCode>
                <c:ptCount val="11"/>
                <c:pt idx="0">
                  <c:v>0.26200000000000001</c:v>
                </c:pt>
                <c:pt idx="1">
                  <c:v>0.19600000000000001</c:v>
                </c:pt>
                <c:pt idx="2">
                  <c:v>0.188</c:v>
                </c:pt>
                <c:pt idx="3">
                  <c:v>0.151</c:v>
                </c:pt>
                <c:pt idx="4">
                  <c:v>0.14799999999999999</c:v>
                </c:pt>
                <c:pt idx="5">
                  <c:v>0.13500000000000001</c:v>
                </c:pt>
                <c:pt idx="6">
                  <c:v>0.13300000000000001</c:v>
                </c:pt>
                <c:pt idx="7">
                  <c:v>9.9000000000000005E-2</c:v>
                </c:pt>
                <c:pt idx="8">
                  <c:v>9.6000000000000002E-2</c:v>
                </c:pt>
                <c:pt idx="9">
                  <c:v>7.3999999999999996E-2</c:v>
                </c:pt>
                <c:pt idx="10">
                  <c:v>5.3999999999999999E-2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12-4852-93EA-DBFEEEB05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81437872"/>
        <c:axId val="781440048"/>
      </c:barChart>
      <c:catAx>
        <c:axId val="781437872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781440048"/>
        <c:crosses val="autoZero"/>
        <c:auto val="1"/>
        <c:lblAlgn val="ctr"/>
        <c:lblOffset val="100"/>
        <c:noMultiLvlLbl val="0"/>
      </c:catAx>
      <c:valAx>
        <c:axId val="781440048"/>
        <c:scaling>
          <c:orientation val="minMax"/>
        </c:scaling>
        <c:delete val="1"/>
        <c:axPos val="t"/>
        <c:numFmt formatCode="0.0%" sourceLinked="1"/>
        <c:majorTickMark val="out"/>
        <c:minorTickMark val="none"/>
        <c:tickLblPos val="nextTo"/>
        <c:crossAx val="78143787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18712273641851"/>
          <c:y val="0.2130811654872255"/>
          <c:w val="0.3762575452716298"/>
          <c:h val="0.59177306630282445"/>
        </c:manualLayout>
      </c:layout>
      <c:pieChart>
        <c:varyColors val="1"/>
        <c:ser>
          <c:idx val="0"/>
          <c:order val="0"/>
          <c:dPt>
            <c:idx val="0"/>
            <c:bubble3D val="0"/>
            <c:explosion val="15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3CBC-4D2B-8785-1D963AD84C26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3CBC-4D2B-8785-1D963AD84C26}"/>
              </c:ext>
            </c:extLst>
          </c:dPt>
          <c:dLbls>
            <c:dLbl>
              <c:idx val="0"/>
              <c:layout>
                <c:manualLayout>
                  <c:x val="4.4154269448713375E-2"/>
                  <c:y val="-4.8319877736801888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Baisse effectif 
59,3</a:t>
                    </a: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BC-4D2B-8785-1D963AD84C26}"/>
                </c:ext>
              </c:extLst>
            </c:dLbl>
            <c:dLbl>
              <c:idx val="1"/>
              <c:layout>
                <c:manualLayout>
                  <c:x val="2.8045226741023568E-2"/>
                  <c:y val="-8.051529951161168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Hausse effectif 
40,7%</a:t>
                    </a:r>
                    <a:endParaRPr lang="en-US"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BC-4D2B-8785-1D963AD84C26}"/>
                </c:ext>
              </c:extLst>
            </c:dLbl>
            <c:dLbl>
              <c:idx val="2"/>
              <c:layout>
                <c:manualLayout>
                  <c:x val="0.10796643480944357"/>
                  <c:y val="3.125010596417224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baseline="0">
                        <a:solidFill>
                          <a:sysClr val="windowText" lastClr="000000"/>
                        </a:solidFill>
                      </a:rPr>
                      <a:t>Sans Réponse
2%</a:t>
                    </a:r>
                    <a:endParaRPr/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BC-4D2B-8785-1D963AD84C26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ysClr val="windowText" lastClr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'Variation EFFECTIF'!$A$10:$A$11</c:f>
              <c:strCache>
                <c:ptCount val="2"/>
                <c:pt idx="0">
                  <c:v>Baisse effectif </c:v>
                </c:pt>
                <c:pt idx="1">
                  <c:v>Hausse effectif </c:v>
                </c:pt>
              </c:strCache>
            </c:strRef>
          </c:cat>
          <c:val>
            <c:numRef>
              <c:f>'Variation EFFECTIF'!$C$10:$C$11</c:f>
              <c:numCache>
                <c:formatCode>0.0%</c:formatCode>
                <c:ptCount val="2"/>
                <c:pt idx="0">
                  <c:v>0.59322033898305082</c:v>
                </c:pt>
                <c:pt idx="1">
                  <c:v>0.40677966101694918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BC-4D2B-8785-1D963AD84C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18712273641851"/>
          <c:y val="0.22151932963207333"/>
          <c:w val="0.3762575452716298"/>
          <c:h val="0.59177306630282445"/>
        </c:manualLayout>
      </c:layout>
      <c:pieChart>
        <c:varyColors val="1"/>
        <c:ser>
          <c:idx val="0"/>
          <c:order val="0"/>
          <c:explosion val="25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97EC-4EA1-A1BE-ED07B50D7C81}"/>
              </c:ext>
            </c:extLst>
          </c:dPt>
          <c:dPt>
            <c:idx val="1"/>
            <c:bubble3D val="0"/>
            <c:spPr>
              <a:solidFill>
                <a:srgbClr val="FF9B57"/>
              </a:solidFill>
            </c:spPr>
            <c:extLst>
              <c:ext xmlns:c16="http://schemas.microsoft.com/office/drawing/2014/chart" uri="{C3380CC4-5D6E-409C-BE32-E72D297353CC}">
                <c16:uniqueId val="{00000003-97EC-4EA1-A1BE-ED07B50D7C81}"/>
              </c:ext>
            </c:extLst>
          </c:dPt>
          <c:dLbls>
            <c:dLbl>
              <c:idx val="0"/>
              <c:layout>
                <c:manualLayout>
                  <c:x val="9.7809745612784313E-2"/>
                  <c:y val="-0.12004983554270907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Non
91,2%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7EC-4EA1-A1BE-ED07B50D7C81}"/>
                </c:ext>
              </c:extLst>
            </c:dLbl>
            <c:dLbl>
              <c:idx val="1"/>
              <c:layout>
                <c:manualLayout>
                  <c:x val="-1.8632360074161716E-2"/>
                  <c:y val="-2.9882055882255225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ysClr val="windowText" lastClr="000000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Oui
8,8%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7EC-4EA1-A1BE-ED07B50D7C81}"/>
                </c:ext>
              </c:extLst>
            </c:dLbl>
            <c:dLbl>
              <c:idx val="2"/>
              <c:layout>
                <c:manualLayout>
                  <c:x val="0.10796643480944357"/>
                  <c:y val="3.1250105964172242E-2"/>
                </c:manualLayout>
              </c:layout>
              <c:tx>
                <c:rich>
                  <a:bodyPr/>
                  <a:lstStyle/>
                  <a:p>
                    <a:pPr>
                      <a:defRPr sz="1000" b="1" i="0" u="none" strike="noStrike" baseline="0">
                        <a:solidFill>
                          <a:srgbClr val="339966"/>
                        </a:solidFill>
                        <a:latin typeface="Calibri"/>
                        <a:ea typeface="Calibri"/>
                        <a:cs typeface="Calibri"/>
                      </a:defRPr>
                    </a:pPr>
                    <a:r>
                      <a:t>Sans Réponse
2%</a:t>
                    </a:r>
                  </a:p>
                </c:rich>
              </c:tx>
              <c:spPr>
                <a:noFill/>
                <a:ln w="25400">
                  <a:noFill/>
                </a:ln>
              </c:spPr>
              <c:dLblPos val="bestFit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7EC-4EA1-A1BE-ED07B50D7C81}"/>
                </c:ext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fr-F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'INTENTION EMBAUCHER 6 PROCH '!$A$10:$A$11</c:f>
              <c:strCache>
                <c:ptCount val="2"/>
                <c:pt idx="0">
                  <c:v>Non</c:v>
                </c:pt>
                <c:pt idx="1">
                  <c:v>Oui</c:v>
                </c:pt>
              </c:strCache>
            </c:strRef>
          </c:cat>
          <c:val>
            <c:numRef>
              <c:f>'INTENTION EMBAUCHER 6 PROCH '!$C$10:$C$11</c:f>
              <c:numCache>
                <c:formatCode>0.0%</c:formatCode>
                <c:ptCount val="2"/>
                <c:pt idx="0">
                  <c:v>0.91154170176916594</c:v>
                </c:pt>
                <c:pt idx="1">
                  <c:v>8.8458298230834037E-2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EC-4EA1-A1BE-ED07B50D7C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9477F-95F8-4B0C-9480-8F94A4097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9</Pages>
  <Words>1070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RESULTATS BAROMETRE 1er SEMESTRE 2010</vt:lpstr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RESULTATS BAROMETRE 1er SEMESTRE 2010</dc:title>
  <dc:creator>valerie</dc:creator>
  <cp:lastModifiedBy>ms</cp:lastModifiedBy>
  <cp:revision>33</cp:revision>
  <cp:lastPrinted>2022-09-22T11:15:00Z</cp:lastPrinted>
  <dcterms:created xsi:type="dcterms:W3CDTF">2022-03-22T10:30:00Z</dcterms:created>
  <dcterms:modified xsi:type="dcterms:W3CDTF">2022-09-22T14:39:00Z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ciété">
    <vt:lpwstr>CGA 13</vt:lpwstr>
  </property>
  <property fmtid="{D5CDD505-2E9C-101B-9397-08002B2CF9AE}" pid="3" name="Sujet">
    <vt:lpwstr>BAROMETREGOOGLE ADHERENT 2017</vt:lpwstr>
  </property>
  <property fmtid="{D5CDD505-2E9C-101B-9397-08002B2CF9AE}" pid="4" name="Responsable">
    <vt:lpwstr> </vt:lpwstr>
  </property>
  <property fmtid="{D5CDD505-2E9C-101B-9397-08002B2CF9AE}" pid="5" name="Auteur">
    <vt:lpwstr>ms       </vt:lpwstr>
  </property>
  <property fmtid="{D5CDD505-2E9C-101B-9397-08002B2CF9AE}" pid="6" name="Titre">
    <vt:lpwstr>Envoi du baromètre Trimestriel Google: STADNIK</vt:lpwstr>
  </property>
</Properties>
</file>